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kern w:val="0"/>
          <w:sz w:val="36"/>
          <w:szCs w:val="36"/>
          <w:lang w:bidi="ar"/>
        </w:rPr>
      </w:pPr>
    </w:p>
    <w:p>
      <w:pPr>
        <w:spacing w:line="600" w:lineRule="exact"/>
        <w:jc w:val="center"/>
        <w:rPr>
          <w:rFonts w:ascii="方正小标宋简体" w:hAnsi="方正小标宋简体" w:eastAsia="方正小标宋简体" w:cs="方正小标宋简体"/>
          <w:bCs/>
          <w:kern w:val="0"/>
          <w:sz w:val="44"/>
          <w:szCs w:val="44"/>
          <w:lang w:bidi="ar"/>
        </w:rPr>
      </w:pPr>
      <w:r>
        <w:rPr>
          <w:rFonts w:hint="eastAsia" w:ascii="方正小标宋简体" w:hAnsi="方正小标宋简体" w:eastAsia="方正小标宋简体" w:cs="方正小标宋简体"/>
          <w:bCs/>
          <w:kern w:val="0"/>
          <w:sz w:val="44"/>
          <w:szCs w:val="44"/>
          <w:lang w:bidi="ar"/>
        </w:rPr>
        <w:t>工贸行业小微企业</w:t>
      </w:r>
    </w:p>
    <w:p>
      <w:pPr>
        <w:spacing w:line="600" w:lineRule="exact"/>
        <w:jc w:val="center"/>
        <w:rPr>
          <w:rFonts w:ascii="方正小标宋简体" w:hAnsi="方正小标宋简体" w:eastAsia="方正小标宋简体" w:cs="方正小标宋简体"/>
          <w:b/>
          <w:kern w:val="0"/>
          <w:sz w:val="36"/>
          <w:szCs w:val="36"/>
          <w:lang w:bidi="ar"/>
        </w:rPr>
      </w:pPr>
      <w:r>
        <w:rPr>
          <w:rFonts w:hint="eastAsia" w:ascii="方正小标宋简体" w:hAnsi="方正小标宋简体" w:eastAsia="方正小标宋简体" w:cs="方正小标宋简体"/>
          <w:bCs/>
          <w:kern w:val="0"/>
          <w:sz w:val="44"/>
          <w:szCs w:val="44"/>
          <w:lang w:bidi="ar"/>
        </w:rPr>
        <w:t>安全生产双重预防机制建设指导书</w:t>
      </w:r>
    </w:p>
    <w:p>
      <w:pPr>
        <w:keepNext w:val="0"/>
        <w:keepLines w:val="0"/>
        <w:pageBreakBefore w:val="0"/>
        <w:kinsoku/>
        <w:wordWrap/>
        <w:overflowPunct/>
        <w:topLinePunct w:val="0"/>
        <w:autoSpaceDE/>
        <w:autoSpaceDN/>
        <w:bidi w:val="0"/>
        <w:spacing w:before="312" w:beforeLines="100" w:after="312" w:afterLines="100" w:line="560" w:lineRule="exact"/>
        <w:jc w:val="center"/>
        <w:textAlignment w:val="auto"/>
        <w:outlineLvl w:val="0"/>
        <w:rPr>
          <w:rFonts w:hint="eastAsia" w:ascii="宋体" w:hAnsi="宋体" w:cs="宋体"/>
          <w:b/>
          <w:kern w:val="0"/>
          <w:sz w:val="32"/>
          <w:szCs w:val="32"/>
          <w:lang w:bidi="ar"/>
        </w:rPr>
      </w:pPr>
    </w:p>
    <w:p>
      <w:pPr>
        <w:keepNext w:val="0"/>
        <w:keepLines w:val="0"/>
        <w:pageBreakBefore w:val="0"/>
        <w:kinsoku/>
        <w:wordWrap/>
        <w:overflowPunct/>
        <w:topLinePunct w:val="0"/>
        <w:autoSpaceDE/>
        <w:autoSpaceDN/>
        <w:bidi w:val="0"/>
        <w:spacing w:before="312" w:beforeLines="100" w:after="312" w:afterLines="100" w:line="560" w:lineRule="exact"/>
        <w:jc w:val="center"/>
        <w:textAlignment w:val="auto"/>
        <w:outlineLvl w:val="0"/>
        <w:rPr>
          <w:rFonts w:ascii="宋体" w:hAnsi="宋体" w:cs="宋体"/>
          <w:b/>
          <w:kern w:val="0"/>
          <w:sz w:val="32"/>
          <w:szCs w:val="32"/>
          <w:lang w:bidi="ar"/>
        </w:rPr>
      </w:pPr>
      <w:r>
        <w:rPr>
          <w:rFonts w:hint="eastAsia" w:ascii="宋体" w:hAnsi="宋体" w:cs="宋体"/>
          <w:b/>
          <w:kern w:val="0"/>
          <w:sz w:val="32"/>
          <w:szCs w:val="32"/>
          <w:lang w:bidi="ar"/>
        </w:rPr>
        <w:t>第一章 总 则</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第一条</w:t>
      </w:r>
      <w:r>
        <w:rPr>
          <w:rFonts w:hint="eastAsia" w:ascii="黑体" w:hAnsi="黑体" w:eastAsia="黑体" w:cs="黑体"/>
          <w:b/>
          <w:kern w:val="0"/>
          <w:sz w:val="32"/>
          <w:szCs w:val="32"/>
          <w:lang w:bidi="ar"/>
        </w:rPr>
        <w:t xml:space="preserve">  </w:t>
      </w:r>
      <w:r>
        <w:rPr>
          <w:rFonts w:ascii="仿宋_GB2312" w:hAnsi="宋体" w:eastAsia="仿宋_GB2312" w:cs="宋体"/>
          <w:kern w:val="0"/>
          <w:sz w:val="32"/>
          <w:szCs w:val="32"/>
          <w:lang w:bidi="ar"/>
        </w:rPr>
        <w:t>为推进</w:t>
      </w:r>
      <w:r>
        <w:rPr>
          <w:rFonts w:hint="eastAsia" w:ascii="仿宋_GB2312" w:hAnsi="宋体" w:eastAsia="仿宋_GB2312" w:cs="宋体"/>
          <w:kern w:val="0"/>
          <w:sz w:val="32"/>
          <w:szCs w:val="32"/>
          <w:lang w:eastAsia="zh-CN" w:bidi="ar"/>
        </w:rPr>
        <w:t>工贸行业</w:t>
      </w:r>
      <w:r>
        <w:rPr>
          <w:rFonts w:ascii="仿宋_GB2312" w:hAnsi="宋体" w:eastAsia="仿宋_GB2312" w:cs="宋体"/>
          <w:kern w:val="0"/>
          <w:sz w:val="32"/>
          <w:szCs w:val="32"/>
          <w:lang w:bidi="ar"/>
        </w:rPr>
        <w:t>小微企业安全生产风险分级管控与隐患排查治理双重预防机制建设，提高</w:t>
      </w:r>
      <w:r>
        <w:rPr>
          <w:rFonts w:hint="eastAsia" w:ascii="仿宋_GB2312" w:hAnsi="宋体" w:eastAsia="仿宋_GB2312" w:cs="宋体"/>
          <w:kern w:val="0"/>
          <w:sz w:val="32"/>
          <w:szCs w:val="32"/>
          <w:lang w:eastAsia="zh-CN" w:bidi="ar"/>
        </w:rPr>
        <w:t>工贸行业</w:t>
      </w:r>
      <w:r>
        <w:rPr>
          <w:rFonts w:ascii="仿宋_GB2312" w:hAnsi="宋体" w:eastAsia="仿宋_GB2312" w:cs="宋体"/>
          <w:kern w:val="0"/>
          <w:sz w:val="32"/>
          <w:szCs w:val="32"/>
          <w:lang w:bidi="ar"/>
        </w:rPr>
        <w:t>小微企业安全</w:t>
      </w:r>
      <w:r>
        <w:rPr>
          <w:rFonts w:hint="eastAsia" w:ascii="仿宋_GB2312" w:hAnsi="宋体" w:eastAsia="仿宋_GB2312" w:cs="宋体"/>
          <w:kern w:val="0"/>
          <w:sz w:val="32"/>
          <w:szCs w:val="32"/>
          <w:lang w:bidi="ar"/>
        </w:rPr>
        <w:t>生产管理</w:t>
      </w:r>
      <w:r>
        <w:rPr>
          <w:rFonts w:ascii="仿宋_GB2312" w:hAnsi="宋体" w:eastAsia="仿宋_GB2312" w:cs="宋体"/>
          <w:kern w:val="0"/>
          <w:sz w:val="32"/>
          <w:szCs w:val="32"/>
          <w:lang w:bidi="ar"/>
        </w:rPr>
        <w:t>水平</w:t>
      </w: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根据《安全生产事故隐患排查治理暂行规定》(国家安监总局令第16号)、</w:t>
      </w:r>
      <w:r>
        <w:rPr>
          <w:rFonts w:hint="eastAsia" w:ascii="仿宋_GB2312" w:hAnsi="宋体" w:eastAsia="仿宋_GB2312" w:cs="宋体"/>
          <w:kern w:val="0"/>
          <w:sz w:val="32"/>
          <w:szCs w:val="32"/>
          <w:lang w:bidi="ar"/>
        </w:rPr>
        <w:t>《工贸行业较大危险因素辨识与防范指导手册（2016版）》</w:t>
      </w:r>
      <w:r>
        <w:rPr>
          <w:rFonts w:hint="eastAsia" w:ascii="仿宋_GB2312" w:hAnsi="宋体" w:eastAsia="仿宋_GB2312" w:cs="宋体"/>
          <w:kern w:val="0"/>
          <w:sz w:val="32"/>
          <w:szCs w:val="32"/>
          <w:lang w:eastAsia="zh-CN" w:bidi="ar"/>
        </w:rPr>
        <w:t>及其</w:t>
      </w:r>
      <w:r>
        <w:rPr>
          <w:rFonts w:hint="eastAsia" w:ascii="仿宋_GB2312" w:hAnsi="宋体" w:eastAsia="仿宋_GB2312" w:cs="宋体"/>
          <w:kern w:val="0"/>
          <w:sz w:val="32"/>
          <w:szCs w:val="32"/>
          <w:lang w:bidi="ar"/>
        </w:rPr>
        <w:t>使用指南</w:t>
      </w:r>
      <w:r>
        <w:rPr>
          <w:rFonts w:hint="eastAsia" w:ascii="仿宋_GB2312" w:hAnsi="宋体" w:eastAsia="仿宋_GB2312" w:cs="宋体"/>
          <w:kern w:val="0"/>
          <w:sz w:val="32"/>
          <w:szCs w:val="32"/>
          <w:lang w:eastAsia="zh-CN" w:bidi="ar"/>
        </w:rPr>
        <w:t>、《工贸行业重大生产安全事故隐患判定标准（2017版）》，</w:t>
      </w:r>
      <w:r>
        <w:rPr>
          <w:rFonts w:ascii="仿宋_GB2312" w:hAnsi="宋体" w:eastAsia="仿宋_GB2312" w:cs="宋体"/>
          <w:kern w:val="0"/>
          <w:sz w:val="32"/>
          <w:szCs w:val="32"/>
          <w:lang w:bidi="ar"/>
        </w:rPr>
        <w:t>《山东省安全生产条例》《山东省安全生产风险管控办法》《山东省生产安全事故隐患排查治理办法》</w:t>
      </w:r>
      <w:r>
        <w:rPr>
          <w:rFonts w:hint="eastAsia" w:ascii="仿宋_GB2312" w:hAnsi="宋体" w:eastAsia="仿宋_GB2312" w:cs="宋体"/>
          <w:kern w:val="0"/>
          <w:sz w:val="32"/>
          <w:szCs w:val="32"/>
          <w:lang w:eastAsia="zh-CN" w:bidi="ar"/>
        </w:rPr>
        <w:t>《山东省安全生产风险分级管控体系通则》《山东省生产安全事故隐患排查治理体系通则》《山东省工贸企业安全生产风险分级管控体系细则》《山东省工贸企业生产安全事故隐患排查治理体系细则》</w:t>
      </w:r>
      <w:r>
        <w:rPr>
          <w:rFonts w:ascii="仿宋_GB2312" w:hAnsi="宋体" w:eastAsia="仿宋_GB2312" w:cs="宋体"/>
          <w:kern w:val="0"/>
          <w:sz w:val="32"/>
          <w:szCs w:val="32"/>
          <w:lang w:bidi="ar"/>
        </w:rPr>
        <w:t>等相关规定，制定本</w:t>
      </w:r>
      <w:r>
        <w:rPr>
          <w:rFonts w:hint="eastAsia" w:ascii="仿宋_GB2312" w:hAnsi="宋体" w:eastAsia="仿宋_GB2312" w:cs="宋体"/>
          <w:kern w:val="0"/>
          <w:sz w:val="32"/>
          <w:szCs w:val="32"/>
          <w:lang w:bidi="ar"/>
        </w:rPr>
        <w:t>指导书</w:t>
      </w:r>
      <w:r>
        <w:rPr>
          <w:rFonts w:ascii="仿宋_GB2312" w:hAnsi="宋体" w:eastAsia="仿宋_GB2312" w:cs="宋体"/>
          <w:kern w:val="0"/>
          <w:sz w:val="32"/>
          <w:szCs w:val="32"/>
          <w:lang w:bidi="ar"/>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宋体"/>
          <w:kern w:val="0"/>
          <w:sz w:val="32"/>
          <w:szCs w:val="32"/>
          <w:lang w:bidi="ar"/>
        </w:rPr>
      </w:pPr>
      <w:r>
        <w:rPr>
          <w:rFonts w:ascii="黑体" w:hAnsi="黑体" w:eastAsia="黑体" w:cs="黑体"/>
          <w:bCs/>
          <w:kern w:val="0"/>
          <w:sz w:val="32"/>
          <w:szCs w:val="32"/>
          <w:lang w:bidi="ar"/>
        </w:rPr>
        <w:t>第二条</w:t>
      </w:r>
      <w:r>
        <w:rPr>
          <w:rFonts w:ascii="仿宋_GB2312" w:hAnsi="宋体" w:eastAsia="仿宋_GB2312" w:cs="宋体"/>
          <w:kern w:val="0"/>
          <w:sz w:val="32"/>
          <w:szCs w:val="32"/>
          <w:lang w:bidi="ar"/>
        </w:rPr>
        <w:t xml:space="preserve"> </w:t>
      </w:r>
      <w:r>
        <w:rPr>
          <w:rFonts w:hint="eastAsia" w:ascii="仿宋_GB2312" w:hAnsi="宋体" w:eastAsia="仿宋_GB2312" w:cs="宋体"/>
          <w:kern w:val="0"/>
          <w:sz w:val="32"/>
          <w:szCs w:val="32"/>
          <w:lang w:bidi="ar"/>
        </w:rPr>
        <w:t xml:space="preserve"> </w:t>
      </w:r>
      <w:r>
        <w:rPr>
          <w:rFonts w:ascii="仿宋_GB2312" w:hAnsi="宋体" w:eastAsia="仿宋_GB2312" w:cs="宋体"/>
          <w:kern w:val="0"/>
          <w:sz w:val="32"/>
          <w:szCs w:val="32"/>
          <w:lang w:bidi="ar"/>
        </w:rPr>
        <w:t>本</w:t>
      </w:r>
      <w:r>
        <w:rPr>
          <w:rFonts w:hint="eastAsia" w:ascii="仿宋_GB2312" w:hAnsi="宋体" w:eastAsia="仿宋_GB2312" w:cs="宋体"/>
          <w:kern w:val="0"/>
          <w:sz w:val="32"/>
          <w:szCs w:val="32"/>
          <w:lang w:bidi="ar"/>
        </w:rPr>
        <w:t>指导书适用于山东省内工贸行业小微企业（以下简称企业）安全生产双重预防机制建设。</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宋体" w:eastAsia="仿宋_GB2312" w:cs="宋体"/>
          <w:kern w:val="0"/>
          <w:sz w:val="32"/>
          <w:szCs w:val="32"/>
          <w:lang w:bidi="ar"/>
        </w:rPr>
        <w:t>工贸行业小型企业，是指冶金、有色、建材、机械、轻工、纺织、烟草、商贸等行业从业人员20</w:t>
      </w:r>
      <w:r>
        <w:rPr>
          <w:rFonts w:ascii="仿宋_GB2312" w:hAnsi="宋体" w:eastAsia="仿宋_GB2312" w:cs="宋体"/>
          <w:kern w:val="0"/>
          <w:sz w:val="32"/>
          <w:szCs w:val="32"/>
          <w:lang w:bidi="ar"/>
        </w:rPr>
        <w:t>人</w:t>
      </w:r>
      <w:r>
        <w:rPr>
          <w:rFonts w:hint="eastAsia" w:ascii="仿宋_GB2312" w:hAnsi="宋体" w:eastAsia="仿宋_GB2312" w:cs="宋体"/>
          <w:kern w:val="0"/>
          <w:sz w:val="32"/>
          <w:szCs w:val="32"/>
          <w:lang w:bidi="ar"/>
        </w:rPr>
        <w:t>以上300人以下，且营业收入300万元以上2000万元以下的企业；微型企业，是指冶金、有色、建材、机械、轻工、纺织、烟草、商贸等行业从业人员20人以下或营业收入300万元以下的企业。（注：以上包含本数，以下不包含本数）</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bidi="ar"/>
        </w:rPr>
        <w:t>三</w:t>
      </w:r>
      <w:r>
        <w:rPr>
          <w:rFonts w:ascii="黑体" w:hAnsi="黑体" w:eastAsia="黑体" w:cs="黑体"/>
          <w:bCs/>
          <w:kern w:val="0"/>
          <w:sz w:val="32"/>
          <w:szCs w:val="32"/>
          <w:lang w:bidi="ar"/>
        </w:rPr>
        <w:t>条</w:t>
      </w:r>
      <w:r>
        <w:rPr>
          <w:rFonts w:ascii="仿宋_GB2312" w:hAnsi="宋体" w:eastAsia="仿宋_GB2312" w:cs="宋体"/>
          <w:kern w:val="0"/>
          <w:sz w:val="32"/>
          <w:szCs w:val="32"/>
          <w:lang w:bidi="ar"/>
        </w:rPr>
        <w:t xml:space="preserve"> </w:t>
      </w:r>
      <w:r>
        <w:rPr>
          <w:rFonts w:hint="eastAsia" w:ascii="仿宋_GB2312" w:hAnsi="宋体" w:eastAsia="仿宋_GB2312" w:cs="宋体"/>
          <w:kern w:val="0"/>
          <w:sz w:val="32"/>
          <w:szCs w:val="32"/>
          <w:lang w:bidi="ar"/>
        </w:rPr>
        <w:t xml:space="preserve"> 企业的双重预防机制建设应坚持：</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仿宋_GB2312" w:eastAsia="仿宋_GB2312" w:cs="仿宋_GB2312"/>
          <w:sz w:val="32"/>
          <w:szCs w:val="32"/>
        </w:rPr>
        <w:t>（一）</w:t>
      </w:r>
      <w:r>
        <w:rPr>
          <w:rFonts w:hint="eastAsia" w:ascii="仿宋_GB2312" w:hAnsi="宋体" w:eastAsia="仿宋_GB2312" w:cs="宋体"/>
          <w:kern w:val="0"/>
          <w:sz w:val="32"/>
          <w:szCs w:val="32"/>
          <w:lang w:bidi="ar"/>
        </w:rPr>
        <w:t>全员参与的原则。应保证企业主要负责人至一线岗位操作员工全员参与，并听取相关方建议。</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仿宋_GB2312" w:eastAsia="仿宋_GB2312" w:cs="仿宋_GB2312"/>
          <w:sz w:val="32"/>
          <w:szCs w:val="32"/>
        </w:rPr>
        <w:t>（二）</w:t>
      </w:r>
      <w:r>
        <w:rPr>
          <w:rFonts w:hint="eastAsia" w:ascii="仿宋_GB2312" w:hAnsi="宋体" w:eastAsia="仿宋_GB2312" w:cs="宋体"/>
          <w:kern w:val="0"/>
          <w:sz w:val="32"/>
          <w:szCs w:val="32"/>
          <w:lang w:bidi="ar"/>
        </w:rPr>
        <w:t>以岗位为核心、与企业生产实际相结合的原则。企业应结合自身安全生产现状与特点,以岗位为核心进行风险识别、风险管控与隐患排查。</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仿宋_GB2312" w:eastAsia="仿宋_GB2312" w:cs="仿宋_GB2312"/>
          <w:sz w:val="32"/>
          <w:szCs w:val="32"/>
        </w:rPr>
        <w:t>（三）</w:t>
      </w:r>
      <w:r>
        <w:rPr>
          <w:rFonts w:hint="eastAsia" w:ascii="仿宋_GB2312" w:hAnsi="宋体" w:eastAsia="仿宋_GB2312" w:cs="宋体"/>
          <w:kern w:val="0"/>
          <w:sz w:val="32"/>
          <w:szCs w:val="32"/>
          <w:lang w:bidi="ar"/>
        </w:rPr>
        <w:t>覆盖全部、</w:t>
      </w:r>
      <w:r>
        <w:rPr>
          <w:rFonts w:ascii="仿宋_GB2312" w:hAnsi="宋体" w:eastAsia="仿宋_GB2312" w:cs="宋体"/>
          <w:kern w:val="0"/>
          <w:sz w:val="32"/>
          <w:szCs w:val="32"/>
          <w:lang w:bidi="ar"/>
        </w:rPr>
        <w:t>重点突出的原则</w:t>
      </w:r>
      <w:r>
        <w:rPr>
          <w:rFonts w:hint="eastAsia" w:ascii="仿宋_GB2312" w:hAnsi="宋体" w:eastAsia="仿宋_GB2312" w:cs="宋体"/>
          <w:kern w:val="0"/>
          <w:sz w:val="32"/>
          <w:szCs w:val="32"/>
          <w:lang w:bidi="ar"/>
        </w:rPr>
        <w:t>。企业应全面识别安全风险，全面覆盖所有场所、活动和人员，重点突出</w:t>
      </w:r>
      <w:r>
        <w:rPr>
          <w:rFonts w:hint="eastAsia" w:ascii="仿宋_GB2312" w:hAnsi="宋体" w:eastAsia="仿宋_GB2312" w:cs="宋体"/>
          <w:kern w:val="0"/>
          <w:sz w:val="32"/>
          <w:szCs w:val="32"/>
          <w:lang w:val="en-US" w:eastAsia="zh-CN" w:bidi="ar"/>
        </w:rPr>
        <w:t>重大</w:t>
      </w:r>
      <w:r>
        <w:rPr>
          <w:rFonts w:hint="eastAsia" w:ascii="仿宋_GB2312" w:hAnsi="宋体" w:eastAsia="仿宋_GB2312" w:cs="宋体"/>
          <w:kern w:val="0"/>
          <w:sz w:val="32"/>
          <w:szCs w:val="32"/>
          <w:lang w:bidi="ar"/>
        </w:rPr>
        <w:t>及较大风险并重点管控。</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仿宋_GB2312" w:eastAsia="仿宋_GB2312" w:cs="仿宋_GB2312"/>
          <w:sz w:val="32"/>
          <w:szCs w:val="32"/>
        </w:rPr>
        <w:t>（四）</w:t>
      </w:r>
      <w:r>
        <w:rPr>
          <w:rFonts w:ascii="仿宋_GB2312" w:hAnsi="宋体" w:eastAsia="仿宋_GB2312" w:cs="宋体"/>
          <w:kern w:val="0"/>
          <w:sz w:val="32"/>
          <w:szCs w:val="32"/>
          <w:lang w:bidi="ar"/>
        </w:rPr>
        <w:t>与</w:t>
      </w:r>
      <w:r>
        <w:rPr>
          <w:rFonts w:hint="eastAsia" w:ascii="仿宋_GB2312" w:hAnsi="宋体" w:eastAsia="仿宋_GB2312" w:cs="宋体"/>
          <w:kern w:val="0"/>
          <w:sz w:val="32"/>
          <w:szCs w:val="32"/>
          <w:lang w:bidi="ar"/>
        </w:rPr>
        <w:t>现行</w:t>
      </w:r>
      <w:r>
        <w:rPr>
          <w:rFonts w:ascii="仿宋_GB2312" w:hAnsi="宋体" w:eastAsia="仿宋_GB2312" w:cs="宋体"/>
          <w:kern w:val="0"/>
          <w:sz w:val="32"/>
          <w:szCs w:val="32"/>
          <w:lang w:bidi="ar"/>
        </w:rPr>
        <w:t>管理体系</w:t>
      </w:r>
      <w:r>
        <w:rPr>
          <w:rFonts w:hint="eastAsia" w:ascii="仿宋_GB2312" w:hAnsi="宋体" w:eastAsia="仿宋_GB2312" w:cs="宋体"/>
          <w:kern w:val="0"/>
          <w:sz w:val="32"/>
          <w:szCs w:val="32"/>
          <w:lang w:bidi="ar"/>
        </w:rPr>
        <w:t>相融合</w:t>
      </w:r>
      <w:r>
        <w:rPr>
          <w:rFonts w:ascii="仿宋_GB2312" w:hAnsi="宋体" w:eastAsia="仿宋_GB2312" w:cs="宋体"/>
          <w:kern w:val="0"/>
          <w:sz w:val="32"/>
          <w:szCs w:val="32"/>
          <w:lang w:bidi="ar"/>
        </w:rPr>
        <w:t>的原则</w:t>
      </w:r>
      <w:r>
        <w:rPr>
          <w:rFonts w:hint="eastAsia" w:ascii="仿宋_GB2312" w:hAnsi="宋体" w:eastAsia="仿宋_GB2312" w:cs="宋体"/>
          <w:kern w:val="0"/>
          <w:sz w:val="32"/>
          <w:szCs w:val="32"/>
          <w:lang w:bidi="ar"/>
        </w:rPr>
        <w:t>。与企业现</w:t>
      </w:r>
      <w:r>
        <w:rPr>
          <w:rFonts w:hint="eastAsia" w:ascii="仿宋_GB2312" w:hAnsi="仿宋_GB2312" w:eastAsia="仿宋_GB2312" w:cs="仿宋_GB2312"/>
          <w:sz w:val="32"/>
          <w:szCs w:val="32"/>
        </w:rPr>
        <w:t>行的</w:t>
      </w:r>
      <w:r>
        <w:rPr>
          <w:rFonts w:hint="eastAsia" w:ascii="仿宋_GB2312" w:hAnsi="仿宋_GB2312" w:eastAsia="仿宋_GB2312" w:cs="仿宋_GB2312"/>
          <w:sz w:val="32"/>
          <w:szCs w:val="32"/>
          <w:lang w:val="en-US" w:eastAsia="zh-CN"/>
        </w:rPr>
        <w:t>安全生产</w:t>
      </w:r>
      <w:r>
        <w:rPr>
          <w:rFonts w:hint="eastAsia" w:ascii="仿宋_GB2312" w:hAnsi="仿宋_GB2312" w:eastAsia="仿宋_GB2312" w:cs="仿宋_GB2312"/>
          <w:sz w:val="32"/>
          <w:szCs w:val="32"/>
        </w:rPr>
        <w:t>标准化、职业健康</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等管理体系高度融合、一体</w:t>
      </w:r>
      <w:r>
        <w:rPr>
          <w:rFonts w:hint="eastAsia" w:ascii="仿宋_GB2312" w:hAnsi="宋体" w:eastAsia="仿宋_GB2312" w:cs="宋体"/>
          <w:kern w:val="0"/>
          <w:sz w:val="32"/>
          <w:szCs w:val="32"/>
          <w:lang w:bidi="ar"/>
        </w:rPr>
        <w:t>化运行。</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eastAsia="仿宋_GB2312" w:cs="宋体"/>
          <w:kern w:val="0"/>
          <w:sz w:val="32"/>
          <w:szCs w:val="32"/>
          <w:lang w:bidi="ar"/>
        </w:rPr>
      </w:pPr>
      <w:r>
        <w:rPr>
          <w:rFonts w:hint="eastAsia" w:ascii="仿宋_GB2312" w:hAnsi="仿宋_GB2312" w:eastAsia="仿宋_GB2312" w:cs="仿宋_GB2312"/>
          <w:sz w:val="32"/>
          <w:szCs w:val="32"/>
        </w:rPr>
        <w:t>（五）</w:t>
      </w:r>
      <w:r>
        <w:rPr>
          <w:rFonts w:ascii="仿宋_GB2312" w:hAnsi="宋体" w:eastAsia="仿宋_GB2312" w:cs="宋体"/>
          <w:kern w:val="0"/>
          <w:sz w:val="32"/>
          <w:szCs w:val="32"/>
          <w:lang w:bidi="ar"/>
        </w:rPr>
        <w:t>持续运行与改进</w:t>
      </w:r>
      <w:r>
        <w:rPr>
          <w:rFonts w:hint="eastAsia" w:ascii="仿宋_GB2312" w:hAnsi="仿宋_GB2312" w:eastAsia="仿宋_GB2312" w:cs="仿宋_GB2312"/>
          <w:sz w:val="32"/>
          <w:szCs w:val="32"/>
        </w:rPr>
        <w:t>的原则。企业应定期对双重预防</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rPr>
        <w:t>建设进行</w:t>
      </w:r>
      <w:r>
        <w:rPr>
          <w:rFonts w:hint="eastAsia" w:ascii="仿宋_GB2312" w:hAnsi="仿宋_GB2312" w:eastAsia="仿宋_GB2312" w:cs="仿宋_GB2312"/>
          <w:sz w:val="32"/>
          <w:szCs w:val="32"/>
          <w:lang w:val="en-US" w:eastAsia="zh-CN"/>
        </w:rPr>
        <w:t>评估</w:t>
      </w:r>
      <w:r>
        <w:rPr>
          <w:rFonts w:hint="eastAsia" w:ascii="仿宋_GB2312" w:hAnsi="仿宋_GB2312" w:eastAsia="仿宋_GB2312" w:cs="仿宋_GB2312"/>
          <w:sz w:val="32"/>
          <w:szCs w:val="32"/>
        </w:rPr>
        <w:t>,不断提高安全</w:t>
      </w:r>
      <w:r>
        <w:rPr>
          <w:rFonts w:ascii="仿宋_GB2312" w:hAnsi="宋体" w:eastAsia="仿宋_GB2312" w:cs="宋体"/>
          <w:kern w:val="0"/>
          <w:sz w:val="32"/>
          <w:szCs w:val="32"/>
          <w:lang w:bidi="ar"/>
        </w:rPr>
        <w:t>绩效,持续改进</w:t>
      </w:r>
      <w:r>
        <w:rPr>
          <w:rFonts w:hint="eastAsia" w:ascii="仿宋_GB2312" w:hAnsi="宋体" w:eastAsia="仿宋_GB2312" w:cs="宋体"/>
          <w:kern w:val="0"/>
          <w:sz w:val="32"/>
          <w:szCs w:val="32"/>
          <w:lang w:bidi="ar"/>
        </w:rPr>
        <w:t>建设和运行质量。</w:t>
      </w:r>
    </w:p>
    <w:p>
      <w:pPr>
        <w:keepNext w:val="0"/>
        <w:keepLines w:val="0"/>
        <w:pageBreakBefore w:val="0"/>
        <w:kinsoku/>
        <w:wordWrap/>
        <w:overflowPunct/>
        <w:topLinePunct w:val="0"/>
        <w:autoSpaceDE/>
        <w:autoSpaceDN/>
        <w:bidi w:val="0"/>
        <w:spacing w:before="312" w:beforeLines="100" w:after="312" w:afterLines="100" w:line="560" w:lineRule="exact"/>
        <w:jc w:val="center"/>
        <w:textAlignment w:val="auto"/>
        <w:outlineLvl w:val="0"/>
        <w:rPr>
          <w:rFonts w:ascii="宋体" w:hAnsi="宋体" w:cs="宋体"/>
          <w:b/>
          <w:kern w:val="0"/>
          <w:sz w:val="32"/>
          <w:szCs w:val="32"/>
          <w:lang w:bidi="ar"/>
        </w:rPr>
      </w:pPr>
      <w:r>
        <w:rPr>
          <w:rFonts w:ascii="宋体" w:hAnsi="宋体" w:cs="宋体"/>
          <w:b/>
          <w:kern w:val="0"/>
          <w:sz w:val="32"/>
          <w:szCs w:val="32"/>
          <w:lang w:bidi="ar"/>
        </w:rPr>
        <w:t>第二章  风险分级管控</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bidi="ar"/>
        </w:rPr>
        <w:t>四</w:t>
      </w:r>
      <w:r>
        <w:rPr>
          <w:rFonts w:ascii="黑体" w:hAnsi="黑体" w:eastAsia="黑体" w:cs="黑体"/>
          <w:bCs/>
          <w:kern w:val="0"/>
          <w:sz w:val="32"/>
          <w:szCs w:val="32"/>
          <w:lang w:bidi="ar"/>
        </w:rPr>
        <w:t xml:space="preserve">条 </w:t>
      </w:r>
      <w:r>
        <w:rPr>
          <w:rFonts w:hint="eastAsia" w:ascii="仿宋_GB2312" w:hAnsi="宋体" w:eastAsia="仿宋_GB2312" w:cs="宋体"/>
          <w:kern w:val="0"/>
          <w:sz w:val="32"/>
          <w:szCs w:val="32"/>
          <w:lang w:bidi="ar"/>
        </w:rPr>
        <w:t xml:space="preserve"> 企业应按照岗位风险辨识、划分风险等级、确定风险管控清单等程序进行风险分级管控。</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条 </w:t>
      </w:r>
      <w:r>
        <w:rPr>
          <w:rFonts w:ascii="黑体" w:hAnsi="黑体" w:eastAsia="黑体" w:cs="黑体"/>
          <w:sz w:val="32"/>
          <w:szCs w:val="32"/>
        </w:rPr>
        <w:t xml:space="preserve"> </w:t>
      </w:r>
      <w:r>
        <w:rPr>
          <w:rFonts w:hint="eastAsia" w:ascii="仿宋_GB2312" w:hAnsi="仿宋_GB2312" w:eastAsia="仿宋_GB2312" w:cs="仿宋_GB2312"/>
          <w:sz w:val="32"/>
          <w:szCs w:val="32"/>
        </w:rPr>
        <w:t>企业应采用头脑风暴、工作危害分析、安全检查表、预先危害分析等方法，结合《工贸行业较大危险因素辨识与防范指导手册》</w:t>
      </w:r>
      <w:r>
        <w:rPr>
          <w:rFonts w:hint="eastAsia" w:ascii="仿宋_GB2312" w:hAnsi="仿宋_GB2312" w:eastAsia="仿宋_GB2312" w:cs="仿宋_GB2312"/>
          <w:sz w:val="32"/>
          <w:szCs w:val="32"/>
          <w:lang w:eastAsia="zh-CN"/>
        </w:rPr>
        <w:t>《工贸企业安全生产诊断分类分级指导标准》等，组织全体员工以岗位为核心，逐一</w:t>
      </w:r>
      <w:r>
        <w:rPr>
          <w:rFonts w:hint="eastAsia" w:ascii="仿宋_GB2312" w:hAnsi="仿宋_GB2312" w:eastAsia="仿宋_GB2312" w:cs="仿宋_GB2312"/>
          <w:sz w:val="32"/>
          <w:szCs w:val="32"/>
        </w:rPr>
        <w:t>辨识岗位（包括安全管理和作业活动岗位）可能发生的事故类型及事故原因</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企业风险</w:t>
      </w:r>
      <w:r>
        <w:rPr>
          <w:rFonts w:hint="eastAsia" w:ascii="仿宋_GB2312" w:hAnsi="仿宋_GB2312" w:eastAsia="仿宋_GB2312" w:cs="仿宋_GB2312"/>
          <w:sz w:val="32"/>
          <w:szCs w:val="32"/>
          <w:lang w:val="en-US" w:eastAsia="zh-CN"/>
        </w:rPr>
        <w:t>辨识</w:t>
      </w:r>
      <w:r>
        <w:rPr>
          <w:rFonts w:hint="eastAsia" w:ascii="仿宋_GB2312" w:hAnsi="仿宋_GB2312" w:eastAsia="仿宋_GB2312" w:cs="仿宋_GB2312"/>
          <w:sz w:val="32"/>
          <w:szCs w:val="32"/>
        </w:rPr>
        <w:t>范围应覆盖岗位范围内所有的活动、人员、设备设施和场所</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将周边辅助设备设施一并进行风险</w:t>
      </w:r>
      <w:r>
        <w:rPr>
          <w:rFonts w:hint="eastAsia" w:ascii="仿宋_GB2312" w:hAnsi="仿宋_GB2312" w:eastAsia="仿宋_GB2312" w:cs="仿宋_GB2312"/>
          <w:sz w:val="32"/>
          <w:szCs w:val="32"/>
          <w:lang w:val="en-US" w:eastAsia="zh-CN"/>
        </w:rPr>
        <w:t>辨识</w:t>
      </w:r>
      <w:r>
        <w:rPr>
          <w:rFonts w:hint="eastAsia" w:ascii="仿宋_GB2312" w:hAnsi="仿宋_GB2312" w:eastAsia="仿宋_GB2312" w:cs="仿宋_GB2312"/>
          <w:sz w:val="32"/>
          <w:szCs w:val="32"/>
        </w:rPr>
        <w:t>，包括：</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操作岗位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常规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有限空间、动火作业、临时用电、高处作业、检维修等非常规作业活动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作业场所内的设施、设备；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原材料、产品的运输和使用过程</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管理岗位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应履行的法律、法规及职责分工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实施管理需要的设备、设施；</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仿宋_GB2312" w:cs="宋体"/>
          <w:b/>
          <w:kern w:val="0"/>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管理适用的专项规定及要求。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当岗位风险</w:t>
      </w:r>
      <w:r>
        <w:rPr>
          <w:rFonts w:hint="eastAsia" w:ascii="仿宋_GB2312" w:hAnsi="仿宋_GB2312" w:eastAsia="仿宋_GB2312" w:cs="仿宋_GB2312"/>
          <w:sz w:val="32"/>
          <w:szCs w:val="32"/>
        </w:rPr>
        <w:t>发生变更</w:t>
      </w:r>
      <w:r>
        <w:rPr>
          <w:rFonts w:hint="eastAsia" w:ascii="仿宋_GB2312" w:hAnsi="仿宋_GB2312" w:eastAsia="仿宋_GB2312" w:cs="仿宋_GB2312"/>
          <w:sz w:val="32"/>
          <w:szCs w:val="32"/>
          <w:lang w:eastAsia="zh-CN"/>
        </w:rPr>
        <w:t>时应及时</w:t>
      </w:r>
      <w:r>
        <w:rPr>
          <w:rFonts w:hint="eastAsia" w:ascii="仿宋_GB2312" w:hAnsi="仿宋_GB2312" w:eastAsia="仿宋_GB2312" w:cs="仿宋_GB2312"/>
          <w:sz w:val="32"/>
          <w:szCs w:val="32"/>
        </w:rPr>
        <w:t>重新辨识</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对于辨识出的</w:t>
      </w:r>
      <w:r>
        <w:rPr>
          <w:rFonts w:hint="eastAsia" w:ascii="仿宋_GB2312" w:hAnsi="仿宋_GB2312" w:eastAsia="仿宋_GB2312" w:cs="仿宋_GB2312"/>
          <w:sz w:val="32"/>
          <w:szCs w:val="32"/>
        </w:rPr>
        <w:t>风险</w:t>
      </w:r>
      <w:r>
        <w:rPr>
          <w:rFonts w:ascii="仿宋_GB2312" w:hAnsi="仿宋_GB2312" w:eastAsia="仿宋_GB2312" w:cs="仿宋_GB2312"/>
          <w:sz w:val="32"/>
          <w:szCs w:val="32"/>
        </w:rPr>
        <w:t>，评价其</w:t>
      </w:r>
      <w:r>
        <w:rPr>
          <w:rFonts w:hint="eastAsia" w:ascii="仿宋_GB2312" w:hAnsi="仿宋_GB2312" w:eastAsia="仿宋_GB2312" w:cs="仿宋_GB2312"/>
          <w:sz w:val="32"/>
          <w:szCs w:val="32"/>
        </w:rPr>
        <w:t>危险有害因素</w:t>
      </w:r>
      <w:r>
        <w:rPr>
          <w:rFonts w:ascii="仿宋_GB2312" w:hAnsi="仿宋_GB2312" w:eastAsia="仿宋_GB2312" w:cs="仿宋_GB2312"/>
          <w:sz w:val="32"/>
          <w:szCs w:val="32"/>
        </w:rPr>
        <w:t>，根据评价结果划分等级</w:t>
      </w:r>
      <w:r>
        <w:rPr>
          <w:rFonts w:hint="eastAsia" w:ascii="仿宋_GB2312" w:hAnsi="仿宋_GB2312" w:eastAsia="仿宋_GB2312" w:cs="仿宋_GB2312"/>
          <w:sz w:val="32"/>
          <w:szCs w:val="32"/>
        </w:rPr>
        <w:t>，并将最高风险等级作为该岗位的风险等级</w:t>
      </w:r>
      <w:r>
        <w:rPr>
          <w:rFonts w:ascii="仿宋_GB2312" w:hAnsi="仿宋_GB2312" w:eastAsia="仿宋_GB2312" w:cs="仿宋_GB2312"/>
          <w:sz w:val="32"/>
          <w:szCs w:val="32"/>
        </w:rPr>
        <w:t>。风险等级分为重大风险、较大风险、一般风险和低风险。</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有下列情形之一的，应当确定为重大风险：</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发生过死亡、重伤、重大财产损失事故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违反法律、法规或3次及以上轻伤事故</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涉及重大危险源的；</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具有中毒、爆炸、火灾等危险因素的场所，且同一作业时间作业人员在</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人及以上的；</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经评价或直接判定法确定的其他重大风险。</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有下列情形之一的，应当确定为较大风险：</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发生过1次及以上不足3次的轻伤事故</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具有中毒、爆炸、火灾等危险因素的场所，且同一作业时间作业人员在</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人及以上不足</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人的；</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经评价或直接判定法确定的其他较大风险。</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（三）不属于上述情形的，可经评价或直接判定法确定为一般风险和低风险。</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黑体" w:hAnsi="黑体" w:eastAsia="黑体" w:cs="黑体"/>
          <w:bCs/>
          <w:kern w:val="0"/>
          <w:sz w:val="32"/>
          <w:szCs w:val="32"/>
          <w:lang w:bidi="ar"/>
        </w:rPr>
      </w:pPr>
      <w:r>
        <w:rPr>
          <w:rFonts w:ascii="仿宋_GB2312" w:hAnsi="仿宋_GB2312" w:eastAsia="仿宋_GB2312" w:cs="仿宋_GB2312"/>
          <w:sz w:val="32"/>
          <w:szCs w:val="32"/>
        </w:rPr>
        <w:t>企业存在的较大以上风险，应作为风险管控重点，保证人员配备和资金投入，确</w:t>
      </w:r>
      <w:r>
        <w:rPr>
          <w:rFonts w:hint="eastAsia" w:ascii="仿宋_GB2312" w:hAnsi="仿宋_GB2312" w:eastAsia="仿宋_GB2312" w:cs="仿宋_GB2312"/>
          <w:sz w:val="32"/>
          <w:szCs w:val="32"/>
          <w:lang w:val="en-US" w:eastAsia="zh-CN"/>
        </w:rPr>
        <w:t>保</w:t>
      </w:r>
      <w:r>
        <w:rPr>
          <w:rFonts w:ascii="仿宋_GB2312" w:hAnsi="仿宋_GB2312" w:eastAsia="仿宋_GB2312" w:cs="仿宋_GB2312"/>
          <w:sz w:val="32"/>
          <w:szCs w:val="32"/>
        </w:rPr>
        <w:t>安全设施完善、管控措施落实到位。</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val="en-US" w:eastAsia="zh-CN" w:bidi="ar"/>
        </w:rPr>
        <w:t>八</w:t>
      </w:r>
      <w:r>
        <w:rPr>
          <w:rFonts w:ascii="黑体" w:hAnsi="黑体" w:eastAsia="黑体" w:cs="黑体"/>
          <w:bCs/>
          <w:kern w:val="0"/>
          <w:sz w:val="32"/>
          <w:szCs w:val="32"/>
          <w:lang w:bidi="ar"/>
        </w:rPr>
        <w:t>条</w:t>
      </w:r>
      <w:r>
        <w:rPr>
          <w:rFonts w:ascii="黑体" w:hAnsi="黑体" w:eastAsia="黑体" w:cs="黑体"/>
          <w:b/>
          <w:kern w:val="0"/>
          <w:sz w:val="32"/>
          <w:szCs w:val="32"/>
          <w:lang w:bidi="ar"/>
        </w:rPr>
        <w:t xml:space="preserve"> </w:t>
      </w:r>
      <w:r>
        <w:rPr>
          <w:rFonts w:ascii="仿宋_GB2312" w:hAnsi="宋体" w:eastAsia="仿宋_GB2312" w:cs="宋体"/>
          <w:kern w:val="0"/>
          <w:sz w:val="32"/>
          <w:szCs w:val="32"/>
          <w:lang w:bidi="ar"/>
        </w:rPr>
        <w:t xml:space="preserve"> </w:t>
      </w:r>
      <w:r>
        <w:rPr>
          <w:rFonts w:hint="eastAsia" w:ascii="仿宋_GB2312" w:hAnsi="宋体" w:eastAsia="仿宋_GB2312" w:cs="宋体"/>
          <w:kern w:val="0"/>
          <w:sz w:val="32"/>
          <w:szCs w:val="32"/>
          <w:lang w:bidi="ar"/>
        </w:rPr>
        <w:t>企业应按照下列管控措施次序和类型，对识别出的</w:t>
      </w:r>
      <w:r>
        <w:rPr>
          <w:rFonts w:ascii="仿宋_GB2312" w:hAnsi="宋体" w:eastAsia="仿宋_GB2312" w:cs="宋体"/>
          <w:kern w:val="0"/>
          <w:sz w:val="32"/>
          <w:szCs w:val="32"/>
          <w:lang w:bidi="ar"/>
        </w:rPr>
        <w:t>风险</w:t>
      </w:r>
      <w:r>
        <w:rPr>
          <w:rFonts w:hint="eastAsia" w:ascii="仿宋_GB2312" w:hAnsi="宋体" w:eastAsia="仿宋_GB2312" w:cs="宋体"/>
          <w:kern w:val="0"/>
          <w:sz w:val="32"/>
          <w:szCs w:val="32"/>
          <w:lang w:bidi="ar"/>
        </w:rPr>
        <w:t>，选择、建立管控措施：</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（一）</w:t>
      </w:r>
      <w:r>
        <w:rPr>
          <w:rFonts w:ascii="仿宋_GB2312" w:hAnsi="宋体" w:eastAsia="仿宋_GB2312" w:cs="宋体"/>
          <w:kern w:val="0"/>
          <w:sz w:val="32"/>
          <w:szCs w:val="32"/>
          <w:lang w:bidi="ar"/>
        </w:rPr>
        <w:t>消除：例如，停止使用危险化学品；</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（二）</w:t>
      </w:r>
      <w:r>
        <w:rPr>
          <w:rFonts w:ascii="仿宋_GB2312" w:hAnsi="宋体" w:eastAsia="仿宋_GB2312" w:cs="宋体"/>
          <w:kern w:val="0"/>
          <w:sz w:val="32"/>
          <w:szCs w:val="32"/>
          <w:lang w:bidi="ar"/>
        </w:rPr>
        <w:t>替代：例如，用低危险性替代高危险性；采取风险低的先进技术工艺；降低设备的电压要求；</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（三）</w:t>
      </w:r>
      <w:r>
        <w:rPr>
          <w:rFonts w:ascii="仿宋_GB2312" w:hAnsi="宋体" w:eastAsia="仿宋_GB2312" w:cs="宋体"/>
          <w:kern w:val="0"/>
          <w:sz w:val="32"/>
          <w:szCs w:val="32"/>
          <w:lang w:bidi="ar"/>
        </w:rPr>
        <w:t>控制：例如，报警、联锁、安全阀、限位、过卷保护；实施集体防护措施 (如隔离、机械防护装置、通风系统)；采用机械装卸；降低噪音；使用护栏防止高空坠落等；</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（四）</w:t>
      </w:r>
      <w:r>
        <w:rPr>
          <w:rFonts w:ascii="仿宋_GB2312" w:hAnsi="宋体" w:eastAsia="仿宋_GB2312" w:cs="宋体"/>
          <w:kern w:val="0"/>
          <w:sz w:val="32"/>
          <w:szCs w:val="32"/>
          <w:lang w:bidi="ar"/>
        </w:rPr>
        <w:t>管理</w:t>
      </w: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例如，实施定期的安全设备检查、检测、检验；实施上岗培训；制定安全管理制度、安全操作规程、安全管理规范；设置安全警示标志；</w:t>
      </w:r>
      <w:r>
        <w:rPr>
          <w:rFonts w:hint="eastAsia" w:ascii="仿宋_GB2312" w:hAnsi="宋体" w:eastAsia="仿宋_GB2312" w:cs="宋体"/>
          <w:kern w:val="0"/>
          <w:sz w:val="32"/>
          <w:szCs w:val="32"/>
          <w:lang w:eastAsia="zh-CN" w:bidi="ar"/>
        </w:rPr>
        <w:t>严格执行危险作业票证审批、资格审核、现场管理、作业报告</w:t>
      </w:r>
      <w:r>
        <w:rPr>
          <w:rFonts w:ascii="仿宋_GB2312" w:hAnsi="宋体" w:eastAsia="仿宋_GB2312" w:cs="宋体"/>
          <w:kern w:val="0"/>
          <w:sz w:val="32"/>
          <w:szCs w:val="32"/>
          <w:lang w:bidi="ar"/>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（五）</w:t>
      </w:r>
      <w:r>
        <w:rPr>
          <w:rFonts w:ascii="仿宋_GB2312" w:hAnsi="宋体" w:eastAsia="仿宋_GB2312" w:cs="宋体"/>
          <w:kern w:val="0"/>
          <w:sz w:val="32"/>
          <w:szCs w:val="32"/>
          <w:lang w:bidi="ar"/>
        </w:rPr>
        <w:t>个体防护：例如，提供充足的个体防护用品，包括服装以及防护用品 (如安全鞋、防护眼镜、听力保护装备、手套等) 的使用和维护说明书；</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（六）</w:t>
      </w:r>
      <w:r>
        <w:rPr>
          <w:rFonts w:ascii="仿宋_GB2312" w:hAnsi="宋体" w:eastAsia="仿宋_GB2312" w:cs="宋体"/>
          <w:kern w:val="0"/>
          <w:sz w:val="32"/>
          <w:szCs w:val="32"/>
          <w:lang w:bidi="ar"/>
        </w:rPr>
        <w:t>应急处置：针对紧急情况建立所策划的响应，包括提供急救、应急培训、通过应急演练定期测试和演练所策划的响应能力</w:t>
      </w:r>
      <w:r>
        <w:rPr>
          <w:rFonts w:hint="eastAsia" w:ascii="仿宋_GB2312" w:hAnsi="宋体" w:eastAsia="仿宋_GB2312" w:cs="宋体"/>
          <w:kern w:val="0"/>
          <w:sz w:val="32"/>
          <w:szCs w:val="32"/>
          <w:lang w:bidi="ar"/>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val="en-US" w:eastAsia="zh-CN" w:bidi="ar"/>
        </w:rPr>
        <w:t>九</w:t>
      </w:r>
      <w:r>
        <w:rPr>
          <w:rFonts w:ascii="黑体" w:hAnsi="黑体" w:eastAsia="黑体" w:cs="黑体"/>
          <w:bCs/>
          <w:kern w:val="0"/>
          <w:sz w:val="32"/>
          <w:szCs w:val="32"/>
          <w:lang w:bidi="ar"/>
        </w:rPr>
        <w:t>条</w:t>
      </w:r>
      <w:r>
        <w:rPr>
          <w:rFonts w:hint="eastAsia" w:ascii="黑体" w:hAnsi="黑体" w:eastAsia="黑体" w:cs="黑体"/>
          <w:bCs/>
          <w:kern w:val="0"/>
          <w:sz w:val="32"/>
          <w:szCs w:val="32"/>
          <w:lang w:bidi="ar"/>
        </w:rPr>
        <w:t xml:space="preserve">  </w:t>
      </w:r>
      <w:r>
        <w:rPr>
          <w:rFonts w:hint="eastAsia" w:ascii="仿宋_GB2312" w:hAnsi="仿宋_GB2312" w:eastAsia="仿宋_GB2312" w:cs="仿宋_GB2312"/>
          <w:bCs w:val="0"/>
          <w:kern w:val="2"/>
          <w:sz w:val="32"/>
          <w:szCs w:val="32"/>
          <w:lang w:eastAsia="zh-CN" w:bidi="ar"/>
        </w:rPr>
        <w:t>企业应组织全体员工</w:t>
      </w:r>
      <w:r>
        <w:rPr>
          <w:rFonts w:hint="eastAsia" w:ascii="仿宋_GB2312" w:hAnsi="仿宋_GB2312" w:eastAsia="仿宋_GB2312" w:cs="仿宋_GB2312"/>
          <w:sz w:val="32"/>
          <w:szCs w:val="32"/>
        </w:rPr>
        <w:t>结合岗位管理职责和风险分级管控职责，制</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本岗位的风险管控措施</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确定岗位的风险管控清单</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操作</w:t>
      </w:r>
      <w:r>
        <w:rPr>
          <w:rFonts w:ascii="仿宋_GB2312" w:hAnsi="宋体" w:eastAsia="仿宋_GB2312" w:cs="宋体"/>
          <w:kern w:val="0"/>
          <w:sz w:val="32"/>
          <w:szCs w:val="32"/>
          <w:lang w:bidi="ar"/>
        </w:rPr>
        <w:t>岗位管控措施的制定，应针对辨识的</w:t>
      </w:r>
      <w:r>
        <w:rPr>
          <w:rFonts w:hint="eastAsia" w:ascii="仿宋_GB2312" w:hAnsi="宋体" w:eastAsia="仿宋_GB2312" w:cs="宋体"/>
          <w:kern w:val="0"/>
          <w:sz w:val="32"/>
          <w:szCs w:val="32"/>
          <w:lang w:bidi="ar"/>
        </w:rPr>
        <w:t>风险</w:t>
      </w:r>
      <w:r>
        <w:rPr>
          <w:rFonts w:ascii="仿宋_GB2312" w:hAnsi="宋体" w:eastAsia="仿宋_GB2312" w:cs="宋体"/>
          <w:kern w:val="0"/>
          <w:sz w:val="32"/>
          <w:szCs w:val="32"/>
          <w:lang w:bidi="ar"/>
        </w:rPr>
        <w:t>，按照作业前、中、后三个步骤，结合</w:t>
      </w:r>
      <w:r>
        <w:rPr>
          <w:rFonts w:hint="eastAsia" w:ascii="仿宋_GB2312" w:hAnsi="宋体" w:eastAsia="仿宋_GB2312" w:cs="宋体"/>
          <w:kern w:val="0"/>
          <w:sz w:val="32"/>
          <w:szCs w:val="32"/>
          <w:lang w:bidi="ar"/>
        </w:rPr>
        <w:t>国家有关标准、</w:t>
      </w:r>
      <w:r>
        <w:rPr>
          <w:rFonts w:ascii="仿宋_GB2312" w:hAnsi="宋体" w:eastAsia="仿宋_GB2312" w:cs="宋体"/>
          <w:kern w:val="0"/>
          <w:sz w:val="32"/>
          <w:szCs w:val="32"/>
          <w:lang w:bidi="ar"/>
        </w:rPr>
        <w:t>现有的安全操作规程和管理措施等，形成符合作业顺序、</w:t>
      </w:r>
      <w:r>
        <w:rPr>
          <w:rFonts w:hint="eastAsia" w:ascii="仿宋_GB2312" w:hAnsi="宋体" w:eastAsia="仿宋_GB2312" w:cs="宋体"/>
          <w:kern w:val="0"/>
          <w:sz w:val="32"/>
          <w:szCs w:val="32"/>
          <w:lang w:bidi="ar"/>
        </w:rPr>
        <w:t>覆盖</w:t>
      </w:r>
      <w:r>
        <w:rPr>
          <w:rFonts w:ascii="仿宋_GB2312" w:hAnsi="宋体" w:eastAsia="仿宋_GB2312" w:cs="宋体"/>
          <w:kern w:val="0"/>
          <w:sz w:val="32"/>
          <w:szCs w:val="32"/>
          <w:lang w:bidi="ar"/>
        </w:rPr>
        <w:t>已识别风险的管控措施</w:t>
      </w: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确保岗位</w:t>
      </w:r>
      <w:r>
        <w:rPr>
          <w:rFonts w:hint="eastAsia" w:ascii="仿宋_GB2312" w:hAnsi="宋体" w:eastAsia="仿宋_GB2312" w:cs="宋体"/>
          <w:kern w:val="0"/>
          <w:sz w:val="32"/>
          <w:szCs w:val="32"/>
          <w:lang w:bidi="ar"/>
        </w:rPr>
        <w:t>风险得到</w:t>
      </w:r>
      <w:r>
        <w:rPr>
          <w:rFonts w:ascii="仿宋_GB2312" w:hAnsi="宋体" w:eastAsia="仿宋_GB2312" w:cs="宋体"/>
          <w:kern w:val="0"/>
          <w:sz w:val="32"/>
          <w:szCs w:val="32"/>
          <w:lang w:bidi="ar"/>
        </w:rPr>
        <w:t>有效控制。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管理岗位管控措施的制定，应对照岗位安全生产责任清单内容，确定本岗位具体的安全管理事项，逐项确定相应管控措施，确保实现管理对象全面落实风险管控措施。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第十条</w:t>
      </w:r>
      <w:r>
        <w:rPr>
          <w:rFonts w:hint="eastAsia" w:ascii="黑体" w:hAnsi="黑体" w:eastAsia="黑体" w:cs="黑体"/>
          <w:bCs/>
          <w:kern w:val="0"/>
          <w:sz w:val="32"/>
          <w:szCs w:val="32"/>
          <w:lang w:bidi="ar"/>
        </w:rPr>
        <w:t xml:space="preserve">  </w:t>
      </w:r>
      <w:r>
        <w:rPr>
          <w:rFonts w:hint="eastAsia" w:ascii="仿宋_GB2312" w:hAnsi="宋体" w:eastAsia="仿宋_GB2312" w:cs="宋体"/>
          <w:kern w:val="0"/>
          <w:sz w:val="32"/>
          <w:szCs w:val="32"/>
          <w:lang w:bidi="ar"/>
        </w:rPr>
        <w:t>对重大风险和较大风险</w:t>
      </w:r>
      <w:r>
        <w:rPr>
          <w:rFonts w:ascii="仿宋_GB2312" w:hAnsi="宋体" w:eastAsia="仿宋_GB2312" w:cs="宋体"/>
          <w:kern w:val="0"/>
          <w:sz w:val="32"/>
          <w:szCs w:val="32"/>
          <w:lang w:bidi="ar"/>
        </w:rPr>
        <w:t>，</w:t>
      </w:r>
      <w:r>
        <w:rPr>
          <w:rFonts w:hint="eastAsia" w:ascii="仿宋_GB2312" w:hAnsi="宋体" w:eastAsia="仿宋_GB2312" w:cs="宋体"/>
          <w:kern w:val="0"/>
          <w:sz w:val="32"/>
          <w:szCs w:val="32"/>
          <w:lang w:bidi="ar"/>
        </w:rPr>
        <w:t>应</w:t>
      </w:r>
      <w:r>
        <w:rPr>
          <w:rFonts w:ascii="仿宋_GB2312" w:hAnsi="宋体" w:eastAsia="仿宋_GB2312" w:cs="宋体"/>
          <w:kern w:val="0"/>
          <w:sz w:val="32"/>
          <w:szCs w:val="32"/>
          <w:lang w:bidi="ar"/>
        </w:rPr>
        <w:t>制定</w:t>
      </w:r>
      <w:r>
        <w:rPr>
          <w:rFonts w:hint="eastAsia" w:ascii="仿宋_GB2312" w:hAnsi="宋体" w:eastAsia="仿宋_GB2312" w:cs="宋体"/>
          <w:kern w:val="0"/>
          <w:sz w:val="32"/>
          <w:szCs w:val="32"/>
          <w:lang w:bidi="ar"/>
        </w:rPr>
        <w:t>专项管控</w:t>
      </w:r>
      <w:r>
        <w:rPr>
          <w:rFonts w:ascii="仿宋_GB2312" w:hAnsi="宋体" w:eastAsia="仿宋_GB2312" w:cs="宋体"/>
          <w:kern w:val="0"/>
          <w:sz w:val="32"/>
          <w:szCs w:val="32"/>
          <w:lang w:bidi="ar"/>
        </w:rPr>
        <w:t>方案</w:t>
      </w:r>
      <w:r>
        <w:rPr>
          <w:rFonts w:hint="eastAsia" w:ascii="仿宋_GB2312" w:hAnsi="宋体" w:eastAsia="仿宋_GB2312" w:cs="宋体"/>
          <w:kern w:val="0"/>
          <w:sz w:val="32"/>
          <w:szCs w:val="32"/>
          <w:lang w:bidi="ar"/>
        </w:rPr>
        <w:t>，</w:t>
      </w:r>
      <w:r>
        <w:rPr>
          <w:rFonts w:ascii="仿宋_GB2312" w:hAnsi="宋体" w:eastAsia="仿宋_GB2312" w:cs="宋体"/>
          <w:kern w:val="0"/>
          <w:sz w:val="32"/>
          <w:szCs w:val="32"/>
          <w:lang w:bidi="ar"/>
        </w:rPr>
        <w:t>按岗位实施分级管控。</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仿宋_GB2312" w:eastAsia="仿宋_GB2312" w:cs="仿宋_GB2312"/>
          <w:sz w:val="32"/>
          <w:szCs w:val="32"/>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bidi="ar"/>
        </w:rPr>
        <w:t>十</w:t>
      </w:r>
      <w:r>
        <w:rPr>
          <w:rFonts w:hint="eastAsia" w:ascii="黑体" w:hAnsi="黑体" w:eastAsia="黑体" w:cs="黑体"/>
          <w:bCs/>
          <w:kern w:val="0"/>
          <w:sz w:val="32"/>
          <w:szCs w:val="32"/>
          <w:lang w:val="en-US" w:eastAsia="zh-CN" w:bidi="ar"/>
        </w:rPr>
        <w:t>一</w:t>
      </w:r>
      <w:r>
        <w:rPr>
          <w:rFonts w:ascii="黑体" w:hAnsi="黑体" w:eastAsia="黑体" w:cs="黑体"/>
          <w:bCs/>
          <w:kern w:val="0"/>
          <w:sz w:val="32"/>
          <w:szCs w:val="32"/>
          <w:lang w:bidi="ar"/>
        </w:rPr>
        <w:t>条</w:t>
      </w:r>
      <w:r>
        <w:rPr>
          <w:rFonts w:ascii="黑体" w:hAnsi="黑体" w:eastAsia="黑体" w:cs="黑体"/>
          <w:b/>
          <w:kern w:val="0"/>
          <w:sz w:val="32"/>
          <w:szCs w:val="32"/>
          <w:lang w:bidi="ar"/>
        </w:rPr>
        <w:t xml:space="preserve"> </w:t>
      </w:r>
      <w:r>
        <w:rPr>
          <w:rFonts w:ascii="仿宋_GB2312" w:hAnsi="仿宋_GB2312" w:eastAsia="仿宋_GB2312" w:cs="仿宋_GB2312"/>
          <w:sz w:val="32"/>
          <w:szCs w:val="32"/>
        </w:rPr>
        <w:t>企业应进行安全风险公示，在具有较大以上风险区域的醒目位置分别设置</w:t>
      </w:r>
      <w:r>
        <w:rPr>
          <w:rFonts w:hint="eastAsia" w:ascii="仿宋_GB2312" w:hAnsi="仿宋_GB2312" w:eastAsia="仿宋_GB2312" w:cs="仿宋_GB2312"/>
          <w:sz w:val="32"/>
          <w:szCs w:val="32"/>
          <w:lang w:eastAsia="zh-CN"/>
        </w:rPr>
        <w:t>风险</w:t>
      </w:r>
      <w:r>
        <w:rPr>
          <w:rFonts w:ascii="仿宋_GB2312" w:hAnsi="仿宋_GB2312" w:eastAsia="仿宋_GB2312" w:cs="仿宋_GB2312"/>
          <w:sz w:val="32"/>
          <w:szCs w:val="32"/>
        </w:rPr>
        <w:t>及管控信息公告栏，</w:t>
      </w:r>
      <w:r>
        <w:rPr>
          <w:rFonts w:hint="eastAsia" w:ascii="仿宋_GB2312" w:hAnsi="仿宋_GB2312" w:eastAsia="仿宋_GB2312" w:cs="仿宋_GB2312"/>
          <w:sz w:val="32"/>
          <w:szCs w:val="32"/>
        </w:rPr>
        <w:t>生产岗位</w:t>
      </w:r>
      <w:r>
        <w:rPr>
          <w:rFonts w:ascii="仿宋_GB2312" w:hAnsi="仿宋_GB2312" w:eastAsia="仿宋_GB2312" w:cs="仿宋_GB2312"/>
          <w:sz w:val="32"/>
          <w:szCs w:val="32"/>
        </w:rPr>
        <w:t>制作岗位安全风险告知牌</w:t>
      </w:r>
      <w:r>
        <w:rPr>
          <w:rFonts w:hint="eastAsia" w:ascii="仿宋_GB2312" w:hAnsi="仿宋_GB2312" w:eastAsia="仿宋_GB2312" w:cs="仿宋_GB2312"/>
          <w:sz w:val="32"/>
          <w:szCs w:val="32"/>
        </w:rPr>
        <w:t>（卡）</w:t>
      </w:r>
      <w:r>
        <w:rPr>
          <w:rFonts w:ascii="仿宋_GB2312" w:hAnsi="仿宋_GB2312" w:eastAsia="仿宋_GB2312" w:cs="仿宋_GB2312"/>
          <w:sz w:val="32"/>
          <w:szCs w:val="32"/>
        </w:rPr>
        <w:t>，标明岗位、事故类型和后果、危害因素、管控措施等内容；对存在较大危险因素的工作场所和有关设备设施上设置明显的安全警示标志</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before="312" w:beforeLines="100" w:after="312" w:afterLines="100" w:line="560" w:lineRule="exact"/>
        <w:jc w:val="center"/>
        <w:textAlignment w:val="auto"/>
        <w:outlineLvl w:val="0"/>
        <w:rPr>
          <w:rFonts w:ascii="宋体" w:hAnsi="宋体" w:cs="宋体"/>
          <w:b/>
          <w:kern w:val="0"/>
          <w:sz w:val="32"/>
          <w:szCs w:val="32"/>
          <w:lang w:bidi="ar"/>
        </w:rPr>
      </w:pPr>
      <w:r>
        <w:rPr>
          <w:rFonts w:ascii="宋体" w:hAnsi="宋体" w:cs="宋体"/>
          <w:b/>
          <w:kern w:val="0"/>
          <w:sz w:val="32"/>
          <w:szCs w:val="32"/>
          <w:lang w:bidi="ar"/>
        </w:rPr>
        <w:t>第三章  隐患排查治理</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highlight w:val="yellow"/>
          <w:lang w:bidi="ar"/>
        </w:rPr>
      </w:pPr>
      <w:r>
        <w:rPr>
          <w:rFonts w:ascii="黑体" w:hAnsi="黑体" w:eastAsia="黑体" w:cs="黑体"/>
          <w:bCs/>
          <w:kern w:val="0"/>
          <w:sz w:val="32"/>
          <w:szCs w:val="32"/>
          <w:lang w:bidi="ar"/>
        </w:rPr>
        <w:t>第十</w:t>
      </w:r>
      <w:r>
        <w:rPr>
          <w:rFonts w:hint="eastAsia" w:ascii="黑体" w:hAnsi="黑体" w:eastAsia="黑体" w:cs="黑体"/>
          <w:bCs/>
          <w:kern w:val="0"/>
          <w:sz w:val="32"/>
          <w:szCs w:val="32"/>
          <w:lang w:val="en-US" w:eastAsia="zh-CN" w:bidi="ar"/>
        </w:rPr>
        <w:t>二</w:t>
      </w:r>
      <w:r>
        <w:rPr>
          <w:rFonts w:ascii="黑体" w:hAnsi="黑体" w:eastAsia="黑体" w:cs="黑体"/>
          <w:bCs/>
          <w:kern w:val="0"/>
          <w:sz w:val="32"/>
          <w:szCs w:val="32"/>
          <w:lang w:bidi="ar"/>
        </w:rPr>
        <w:t>条</w:t>
      </w:r>
      <w:r>
        <w:rPr>
          <w:rFonts w:ascii="黑体" w:hAnsi="黑体" w:eastAsia="黑体" w:cs="黑体"/>
          <w:b/>
          <w:kern w:val="0"/>
          <w:sz w:val="32"/>
          <w:szCs w:val="32"/>
          <w:lang w:bidi="ar"/>
        </w:rPr>
        <w:t xml:space="preserve"> </w:t>
      </w:r>
      <w:r>
        <w:rPr>
          <w:rFonts w:ascii="仿宋_GB2312" w:hAnsi="宋体" w:eastAsia="仿宋_GB2312" w:cs="宋体"/>
          <w:kern w:val="0"/>
          <w:sz w:val="32"/>
          <w:szCs w:val="32"/>
          <w:lang w:bidi="ar"/>
        </w:rPr>
        <w:t xml:space="preserve"> </w:t>
      </w:r>
      <w:r>
        <w:rPr>
          <w:rFonts w:hint="eastAsia" w:ascii="仿宋_GB2312" w:hAnsi="宋体" w:eastAsia="仿宋_GB2312" w:cs="宋体"/>
          <w:kern w:val="0"/>
          <w:sz w:val="32"/>
          <w:szCs w:val="32"/>
          <w:lang w:bidi="ar"/>
        </w:rPr>
        <w:t>企业的隐患排查治理，应按照制定岗位隐患排查清单、实施隐患排查、隐患治理的程序开展。</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bidi="ar"/>
        </w:rPr>
        <w:t>十</w:t>
      </w:r>
      <w:r>
        <w:rPr>
          <w:rFonts w:hint="eastAsia" w:ascii="黑体" w:hAnsi="黑体" w:eastAsia="黑体" w:cs="黑体"/>
          <w:bCs/>
          <w:kern w:val="0"/>
          <w:sz w:val="32"/>
          <w:szCs w:val="32"/>
          <w:lang w:val="en-US" w:eastAsia="zh-CN" w:bidi="ar"/>
        </w:rPr>
        <w:t>三</w:t>
      </w:r>
      <w:r>
        <w:rPr>
          <w:rFonts w:ascii="黑体" w:hAnsi="黑体" w:eastAsia="黑体" w:cs="黑体"/>
          <w:bCs/>
          <w:kern w:val="0"/>
          <w:sz w:val="32"/>
          <w:szCs w:val="32"/>
          <w:lang w:bidi="ar"/>
        </w:rPr>
        <w:t>条</w:t>
      </w:r>
      <w:r>
        <w:rPr>
          <w:rFonts w:ascii="黑体" w:hAnsi="黑体" w:eastAsia="黑体" w:cs="黑体"/>
          <w:b/>
          <w:kern w:val="0"/>
          <w:sz w:val="32"/>
          <w:szCs w:val="32"/>
          <w:lang w:bidi="ar"/>
        </w:rPr>
        <w:t xml:space="preserve"> </w:t>
      </w:r>
      <w:r>
        <w:rPr>
          <w:rFonts w:hint="eastAsia" w:ascii="黑体" w:hAnsi="黑体" w:eastAsia="黑体" w:cs="黑体"/>
          <w:b/>
          <w:kern w:val="0"/>
          <w:sz w:val="32"/>
          <w:szCs w:val="32"/>
          <w:lang w:bidi="ar"/>
        </w:rPr>
        <w:t xml:space="preserve"> </w:t>
      </w:r>
      <w:r>
        <w:rPr>
          <w:rFonts w:ascii="仿宋_GB2312" w:hAnsi="宋体" w:eastAsia="仿宋_GB2312" w:cs="宋体"/>
          <w:kern w:val="0"/>
          <w:sz w:val="32"/>
          <w:szCs w:val="32"/>
          <w:lang w:bidi="ar"/>
        </w:rPr>
        <w:t>企业</w:t>
      </w:r>
      <w:r>
        <w:rPr>
          <w:rFonts w:hint="eastAsia" w:ascii="仿宋_GB2312" w:hAnsi="宋体" w:eastAsia="仿宋_GB2312" w:cs="宋体"/>
          <w:kern w:val="0"/>
          <w:sz w:val="32"/>
          <w:szCs w:val="32"/>
          <w:lang w:bidi="ar"/>
        </w:rPr>
        <w:t>应</w:t>
      </w:r>
      <w:r>
        <w:rPr>
          <w:rFonts w:ascii="仿宋_GB2312" w:hAnsi="宋体" w:eastAsia="仿宋_GB2312" w:cs="宋体"/>
          <w:kern w:val="0"/>
          <w:sz w:val="32"/>
          <w:szCs w:val="32"/>
          <w:lang w:bidi="ar"/>
        </w:rPr>
        <w:t>以岗位风险管控措施作为隐患排查的内容，依据岗位职责，制定岗位隐患排查清单，明确隐患排查的内容、方式、周期和责任人等。</w:t>
      </w:r>
      <w:r>
        <w:rPr>
          <w:rFonts w:hint="eastAsia" w:ascii="仿宋_GB2312" w:hAnsi="宋体" w:eastAsia="仿宋_GB2312" w:cs="宋体"/>
          <w:kern w:val="0"/>
          <w:sz w:val="32"/>
          <w:szCs w:val="32"/>
          <w:lang w:bidi="ar"/>
        </w:rPr>
        <w:t>隐患排查清单</w:t>
      </w:r>
      <w:r>
        <w:rPr>
          <w:rFonts w:hint="eastAsia" w:ascii="仿宋_GB2312" w:hAnsi="宋体" w:eastAsia="仿宋_GB2312" w:cs="宋体"/>
          <w:kern w:val="0"/>
          <w:sz w:val="32"/>
          <w:szCs w:val="32"/>
          <w:lang w:eastAsia="zh-CN" w:bidi="ar"/>
        </w:rPr>
        <w:t>应与</w:t>
      </w:r>
      <w:r>
        <w:rPr>
          <w:rFonts w:hint="eastAsia" w:ascii="仿宋_GB2312" w:hAnsi="宋体" w:eastAsia="仿宋_GB2312" w:cs="宋体"/>
          <w:kern w:val="0"/>
          <w:sz w:val="32"/>
          <w:szCs w:val="32"/>
          <w:lang w:bidi="ar"/>
        </w:rPr>
        <w:t>风险管控清单相结合</w:t>
      </w:r>
      <w:r>
        <w:rPr>
          <w:rFonts w:hint="eastAsia" w:ascii="仿宋_GB2312" w:hAnsi="宋体" w:eastAsia="仿宋_GB2312" w:cs="宋体"/>
          <w:kern w:val="0"/>
          <w:sz w:val="32"/>
          <w:szCs w:val="32"/>
          <w:lang w:eastAsia="zh-CN" w:bidi="ar"/>
        </w:rPr>
        <w:t>，</w:t>
      </w:r>
      <w:r>
        <w:rPr>
          <w:rFonts w:hint="eastAsia" w:ascii="仿宋_GB2312" w:hAnsi="宋体" w:eastAsia="仿宋_GB2312" w:cs="宋体"/>
          <w:kern w:val="0"/>
          <w:sz w:val="32"/>
          <w:szCs w:val="32"/>
          <w:lang w:bidi="ar"/>
        </w:rPr>
        <w:t>可参照附件《作业活动岗位风险管控与隐患排查清单》《安全管理岗位风险管控与隐患排查清单》制定，也可结合企业自身特点制定，但不应遗漏既定的管控措施。有新的外部强制性要求时可补充排查内容。</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bidi="ar"/>
        </w:rPr>
        <w:t>十</w:t>
      </w:r>
      <w:r>
        <w:rPr>
          <w:rFonts w:hint="eastAsia" w:ascii="黑体" w:hAnsi="黑体" w:eastAsia="黑体" w:cs="黑体"/>
          <w:bCs/>
          <w:kern w:val="0"/>
          <w:sz w:val="32"/>
          <w:szCs w:val="32"/>
          <w:lang w:val="en-US" w:eastAsia="zh-CN" w:bidi="ar"/>
        </w:rPr>
        <w:t>四</w:t>
      </w:r>
      <w:r>
        <w:rPr>
          <w:rFonts w:ascii="黑体" w:hAnsi="黑体" w:eastAsia="黑体" w:cs="黑体"/>
          <w:bCs/>
          <w:kern w:val="0"/>
          <w:sz w:val="32"/>
          <w:szCs w:val="32"/>
          <w:lang w:bidi="ar"/>
        </w:rPr>
        <w:t>条</w:t>
      </w:r>
      <w:r>
        <w:rPr>
          <w:rFonts w:hint="eastAsia" w:ascii="黑体" w:hAnsi="黑体" w:eastAsia="黑体" w:cs="黑体"/>
          <w:bCs/>
          <w:kern w:val="0"/>
          <w:sz w:val="32"/>
          <w:szCs w:val="32"/>
          <w:lang w:bidi="ar"/>
        </w:rPr>
        <w:t xml:space="preserve">  </w:t>
      </w:r>
      <w:r>
        <w:rPr>
          <w:rFonts w:hint="eastAsia" w:ascii="仿宋_GB2312" w:hAnsi="宋体" w:eastAsia="仿宋_GB2312" w:cs="宋体"/>
          <w:kern w:val="0"/>
          <w:sz w:val="32"/>
          <w:szCs w:val="32"/>
          <w:lang w:bidi="ar"/>
        </w:rPr>
        <w:t>操作岗位的</w:t>
      </w:r>
      <w:r>
        <w:rPr>
          <w:rFonts w:hint="eastAsia" w:ascii="仿宋_GB2312" w:hAnsi="宋体" w:eastAsia="仿宋_GB2312" w:cs="宋体"/>
          <w:kern w:val="0"/>
          <w:sz w:val="32"/>
          <w:szCs w:val="32"/>
          <w:lang w:eastAsia="zh-CN" w:bidi="ar"/>
        </w:rPr>
        <w:t>作业</w:t>
      </w:r>
      <w:r>
        <w:rPr>
          <w:rFonts w:hint="eastAsia" w:ascii="仿宋_GB2312" w:hAnsi="宋体" w:eastAsia="仿宋_GB2312" w:cs="宋体"/>
          <w:kern w:val="0"/>
          <w:sz w:val="32"/>
          <w:szCs w:val="32"/>
          <w:lang w:bidi="ar"/>
        </w:rPr>
        <w:t>行为，</w:t>
      </w:r>
      <w:r>
        <w:rPr>
          <w:rFonts w:hint="eastAsia" w:ascii="仿宋_GB2312" w:hAnsi="宋体" w:eastAsia="仿宋_GB2312" w:cs="宋体"/>
          <w:kern w:val="0"/>
          <w:sz w:val="32"/>
          <w:szCs w:val="32"/>
          <w:lang w:eastAsia="zh-CN" w:bidi="ar"/>
        </w:rPr>
        <w:t>由</w:t>
      </w:r>
      <w:r>
        <w:rPr>
          <w:rFonts w:hint="eastAsia" w:ascii="仿宋_GB2312" w:hAnsi="宋体" w:eastAsia="仿宋_GB2312" w:cs="宋体"/>
          <w:kern w:val="0"/>
          <w:sz w:val="32"/>
          <w:szCs w:val="32"/>
          <w:lang w:bidi="ar"/>
        </w:rPr>
        <w:t>上级管理岗位人员监督管控措施的落实</w:t>
      </w:r>
      <w:r>
        <w:rPr>
          <w:rFonts w:ascii="仿宋_GB2312" w:hAnsi="宋体" w:eastAsia="仿宋_GB2312" w:cs="宋体"/>
          <w:kern w:val="0"/>
          <w:sz w:val="32"/>
          <w:szCs w:val="32"/>
          <w:lang w:bidi="ar"/>
        </w:rPr>
        <w:t>并作为隐患排查清单的内容</w:t>
      </w:r>
      <w:r>
        <w:rPr>
          <w:rFonts w:hint="eastAsia" w:ascii="仿宋_GB2312" w:hAnsi="宋体" w:eastAsia="仿宋_GB2312" w:cs="宋体"/>
          <w:kern w:val="0"/>
          <w:sz w:val="32"/>
          <w:szCs w:val="32"/>
          <w:lang w:eastAsia="zh-CN" w:bidi="ar"/>
        </w:rPr>
        <w:t>。</w:t>
      </w:r>
      <w:r>
        <w:rPr>
          <w:rFonts w:hint="eastAsia" w:ascii="仿宋_GB2312" w:hAnsi="宋体" w:eastAsia="仿宋_GB2312" w:cs="宋体"/>
          <w:kern w:val="0"/>
          <w:sz w:val="32"/>
          <w:szCs w:val="32"/>
          <w:lang w:bidi="ar"/>
        </w:rPr>
        <w:t>管理岗位的管理行为，</w:t>
      </w:r>
      <w:r>
        <w:rPr>
          <w:rFonts w:hint="eastAsia" w:ascii="仿宋_GB2312" w:hAnsi="宋体" w:eastAsia="仿宋_GB2312" w:cs="宋体"/>
          <w:kern w:val="0"/>
          <w:sz w:val="32"/>
          <w:szCs w:val="32"/>
          <w:lang w:eastAsia="zh-CN" w:bidi="ar"/>
        </w:rPr>
        <w:t>由</w:t>
      </w:r>
      <w:r>
        <w:rPr>
          <w:rFonts w:hint="eastAsia" w:ascii="仿宋_GB2312" w:hAnsi="宋体" w:eastAsia="仿宋_GB2312" w:cs="宋体"/>
          <w:kern w:val="0"/>
          <w:sz w:val="32"/>
          <w:szCs w:val="32"/>
          <w:lang w:bidi="ar"/>
        </w:rPr>
        <w:t>上级管理岗位监督管控措施的落实</w:t>
      </w:r>
      <w:r>
        <w:rPr>
          <w:rFonts w:hint="eastAsia" w:ascii="仿宋_GB2312" w:hAnsi="宋体" w:eastAsia="仿宋_GB2312" w:cs="宋体"/>
          <w:kern w:val="0"/>
          <w:sz w:val="32"/>
          <w:szCs w:val="32"/>
          <w:lang w:eastAsia="zh-CN" w:bidi="ar"/>
        </w:rPr>
        <w:t>，</w:t>
      </w:r>
      <w:r>
        <w:rPr>
          <w:rFonts w:ascii="仿宋_GB2312" w:hAnsi="宋体" w:eastAsia="仿宋_GB2312" w:cs="宋体"/>
          <w:kern w:val="0"/>
          <w:sz w:val="32"/>
          <w:szCs w:val="32"/>
          <w:lang w:bidi="ar"/>
        </w:rPr>
        <w:t>并作为隐患排查清单的内容。</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bidi="ar"/>
        </w:rPr>
        <w:t>十</w:t>
      </w:r>
      <w:r>
        <w:rPr>
          <w:rFonts w:hint="eastAsia" w:ascii="黑体" w:hAnsi="黑体" w:eastAsia="黑体" w:cs="黑体"/>
          <w:bCs/>
          <w:kern w:val="0"/>
          <w:sz w:val="32"/>
          <w:szCs w:val="32"/>
          <w:lang w:val="en-US" w:eastAsia="zh-CN" w:bidi="ar"/>
        </w:rPr>
        <w:t>五</w:t>
      </w:r>
      <w:r>
        <w:rPr>
          <w:rFonts w:ascii="黑体" w:hAnsi="黑体" w:eastAsia="黑体" w:cs="黑体"/>
          <w:bCs/>
          <w:kern w:val="0"/>
          <w:sz w:val="32"/>
          <w:szCs w:val="32"/>
          <w:lang w:bidi="ar"/>
        </w:rPr>
        <w:t>条</w:t>
      </w:r>
      <w:r>
        <w:rPr>
          <w:rFonts w:hint="eastAsia" w:ascii="黑体" w:hAnsi="黑体" w:eastAsia="黑体" w:cs="黑体"/>
          <w:bCs/>
          <w:kern w:val="0"/>
          <w:sz w:val="32"/>
          <w:szCs w:val="32"/>
          <w:lang w:bidi="ar"/>
        </w:rPr>
        <w:t xml:space="preserve">  </w:t>
      </w:r>
      <w:r>
        <w:rPr>
          <w:rFonts w:hint="eastAsia" w:ascii="仿宋_GB2312" w:hAnsi="宋体" w:eastAsia="仿宋_GB2312" w:cs="宋体"/>
          <w:kern w:val="0"/>
          <w:sz w:val="32"/>
          <w:szCs w:val="32"/>
          <w:lang w:bidi="ar"/>
        </w:rPr>
        <w:t>企业应</w:t>
      </w:r>
      <w:r>
        <w:rPr>
          <w:rFonts w:hint="eastAsia" w:ascii="仿宋_GB2312" w:hAnsi="宋体" w:eastAsia="仿宋_GB2312" w:cs="宋体"/>
          <w:kern w:val="0"/>
          <w:sz w:val="32"/>
          <w:szCs w:val="32"/>
          <w:lang w:eastAsia="zh-CN" w:bidi="ar"/>
        </w:rPr>
        <w:t>按照</w:t>
      </w:r>
      <w:r>
        <w:rPr>
          <w:rFonts w:hint="eastAsia" w:ascii="仿宋_GB2312" w:hAnsi="宋体" w:eastAsia="仿宋_GB2312" w:cs="宋体"/>
          <w:kern w:val="0"/>
          <w:sz w:val="32"/>
          <w:szCs w:val="32"/>
          <w:lang w:bidi="ar"/>
        </w:rPr>
        <w:t>隐患排查清单</w:t>
      </w:r>
      <w:r>
        <w:rPr>
          <w:rFonts w:hint="eastAsia" w:ascii="仿宋_GB2312" w:hAnsi="宋体" w:eastAsia="仿宋_GB2312" w:cs="宋体"/>
          <w:kern w:val="0"/>
          <w:sz w:val="32"/>
          <w:szCs w:val="32"/>
          <w:lang w:eastAsia="zh-CN" w:bidi="ar"/>
        </w:rPr>
        <w:t>，</w:t>
      </w:r>
      <w:r>
        <w:rPr>
          <w:rFonts w:hint="eastAsia" w:ascii="仿宋_GB2312" w:hAnsi="宋体" w:eastAsia="仿宋_GB2312" w:cs="宋体"/>
          <w:kern w:val="0"/>
          <w:sz w:val="32"/>
          <w:szCs w:val="32"/>
          <w:lang w:bidi="ar"/>
        </w:rPr>
        <w:t>根据</w:t>
      </w:r>
      <w:r>
        <w:rPr>
          <w:rFonts w:hint="eastAsia" w:ascii="仿宋_GB2312" w:hAnsi="宋体" w:eastAsia="仿宋_GB2312" w:cs="宋体"/>
          <w:kern w:val="0"/>
          <w:sz w:val="32"/>
          <w:szCs w:val="32"/>
          <w:lang w:eastAsia="zh-CN" w:bidi="ar"/>
        </w:rPr>
        <w:t>岗位风险</w:t>
      </w:r>
      <w:r>
        <w:rPr>
          <w:rFonts w:hint="eastAsia" w:ascii="仿宋_GB2312" w:hAnsi="宋体" w:eastAsia="仿宋_GB2312" w:cs="宋体"/>
          <w:kern w:val="0"/>
          <w:sz w:val="32"/>
          <w:szCs w:val="32"/>
          <w:lang w:bidi="ar"/>
        </w:rPr>
        <w:t>的</w:t>
      </w:r>
      <w:r>
        <w:rPr>
          <w:rFonts w:hint="eastAsia" w:ascii="仿宋_GB2312" w:hAnsi="宋体" w:eastAsia="仿宋_GB2312" w:cs="宋体"/>
          <w:kern w:val="0"/>
          <w:sz w:val="32"/>
          <w:szCs w:val="32"/>
          <w:lang w:eastAsia="zh-CN" w:bidi="ar"/>
        </w:rPr>
        <w:t>具体情况</w:t>
      </w:r>
      <w:r>
        <w:rPr>
          <w:rFonts w:hint="eastAsia" w:ascii="仿宋_GB2312" w:hAnsi="宋体" w:eastAsia="仿宋_GB2312" w:cs="宋体"/>
          <w:kern w:val="0"/>
          <w:sz w:val="32"/>
          <w:szCs w:val="32"/>
          <w:lang w:bidi="ar"/>
        </w:rPr>
        <w:t>确定排查周期</w:t>
      </w:r>
      <w:r>
        <w:rPr>
          <w:rFonts w:hint="eastAsia" w:ascii="仿宋_GB2312" w:hAnsi="宋体" w:eastAsia="仿宋_GB2312" w:cs="宋体"/>
          <w:kern w:val="0"/>
          <w:sz w:val="32"/>
          <w:szCs w:val="32"/>
          <w:lang w:eastAsia="zh-CN" w:bidi="ar"/>
        </w:rPr>
        <w:t>并实施隐患排查</w:t>
      </w:r>
      <w:r>
        <w:rPr>
          <w:rFonts w:hint="eastAsia" w:ascii="仿宋_GB2312" w:hAnsi="宋体" w:eastAsia="仿宋_GB2312" w:cs="宋体"/>
          <w:kern w:val="0"/>
          <w:sz w:val="32"/>
          <w:szCs w:val="32"/>
          <w:lang w:bidi="ar"/>
        </w:rPr>
        <w:t>。对于风险状态易于变化的岗位，应采用较短的排查周期，风险状态不易变化的岗位，可采用较长的排查周期。排查周期可根据安全生产的变化、上级主管部门的要求等予以适当调整。隐患排查周期包括每班一次、每周一次、每月一次、每季度一次等。</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 w:val="0"/>
          <w:bCs/>
          <w:kern w:val="0"/>
          <w:sz w:val="32"/>
          <w:szCs w:val="32"/>
          <w:lang w:bidi="ar"/>
        </w:rPr>
        <w:t>第</w:t>
      </w:r>
      <w:r>
        <w:rPr>
          <w:rFonts w:hint="eastAsia" w:ascii="黑体" w:hAnsi="黑体" w:eastAsia="黑体" w:cs="黑体"/>
          <w:b w:val="0"/>
          <w:bCs/>
          <w:kern w:val="0"/>
          <w:sz w:val="32"/>
          <w:szCs w:val="32"/>
          <w:lang w:bidi="ar"/>
        </w:rPr>
        <w:t>十</w:t>
      </w:r>
      <w:r>
        <w:rPr>
          <w:rFonts w:hint="eastAsia" w:ascii="黑体" w:hAnsi="黑体" w:eastAsia="黑体" w:cs="黑体"/>
          <w:b w:val="0"/>
          <w:bCs/>
          <w:kern w:val="0"/>
          <w:sz w:val="32"/>
          <w:szCs w:val="32"/>
          <w:lang w:val="en-US" w:eastAsia="zh-CN" w:bidi="ar"/>
        </w:rPr>
        <w:t>六</w:t>
      </w:r>
      <w:r>
        <w:rPr>
          <w:rFonts w:ascii="黑体" w:hAnsi="黑体" w:eastAsia="黑体" w:cs="黑体"/>
          <w:b w:val="0"/>
          <w:bCs/>
          <w:kern w:val="0"/>
          <w:sz w:val="32"/>
          <w:szCs w:val="32"/>
          <w:lang w:bidi="ar"/>
        </w:rPr>
        <w:t>条</w:t>
      </w:r>
      <w:r>
        <w:rPr>
          <w:rFonts w:hint="eastAsia" w:ascii="黑体" w:hAnsi="黑体" w:eastAsia="黑体" w:cs="黑体"/>
          <w:b/>
          <w:kern w:val="0"/>
          <w:sz w:val="32"/>
          <w:szCs w:val="32"/>
          <w:lang w:bidi="ar"/>
        </w:rPr>
        <w:t xml:space="preserve">  </w:t>
      </w:r>
      <w:r>
        <w:rPr>
          <w:rFonts w:hint="eastAsia" w:ascii="仿宋_GB2312" w:hAnsi="宋体" w:eastAsia="仿宋_GB2312" w:cs="宋体"/>
          <w:kern w:val="0"/>
          <w:sz w:val="32"/>
          <w:szCs w:val="32"/>
          <w:lang w:bidi="ar"/>
        </w:rPr>
        <w:t>对排查出的隐患，应立即采取针对性安全措施消除隐患，由有关人员负责组织整改</w:t>
      </w:r>
      <w:r>
        <w:rPr>
          <w:rFonts w:hint="eastAsia" w:ascii="仿宋_GB2312" w:hAnsi="宋体" w:eastAsia="仿宋_GB2312" w:cs="宋体"/>
          <w:kern w:val="0"/>
          <w:sz w:val="32"/>
          <w:szCs w:val="32"/>
          <w:lang w:eastAsia="zh-CN" w:bidi="ar"/>
        </w:rPr>
        <w:t>。</w:t>
      </w:r>
      <w:r>
        <w:rPr>
          <w:rFonts w:hint="eastAsia" w:ascii="仿宋_GB2312" w:hAnsi="仿宋_GB2312" w:eastAsia="仿宋_GB2312" w:cs="仿宋_GB2312"/>
          <w:sz w:val="32"/>
          <w:szCs w:val="32"/>
          <w:lang w:eastAsia="zh-CN"/>
        </w:rPr>
        <w:t>不能立即整改的要明确责任人、整改措施、整改期限，做到隐患整改“五到位”，确保整改期间不出问题。</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bidi="ar"/>
        </w:rPr>
        <w:t>十</w:t>
      </w:r>
      <w:r>
        <w:rPr>
          <w:rFonts w:hint="eastAsia" w:ascii="黑体" w:hAnsi="黑体" w:eastAsia="黑体" w:cs="黑体"/>
          <w:bCs/>
          <w:kern w:val="0"/>
          <w:sz w:val="32"/>
          <w:szCs w:val="32"/>
          <w:lang w:val="en-US" w:eastAsia="zh-CN" w:bidi="ar"/>
        </w:rPr>
        <w:t>七</w:t>
      </w:r>
      <w:r>
        <w:rPr>
          <w:rFonts w:ascii="黑体" w:hAnsi="黑体" w:eastAsia="黑体" w:cs="黑体"/>
          <w:bCs/>
          <w:kern w:val="0"/>
          <w:sz w:val="32"/>
          <w:szCs w:val="32"/>
          <w:lang w:bidi="ar"/>
        </w:rPr>
        <w:t>条</w:t>
      </w:r>
      <w:r>
        <w:rPr>
          <w:rFonts w:hint="eastAsia" w:ascii="黑体" w:hAnsi="黑体" w:eastAsia="黑体" w:cs="黑体"/>
          <w:bCs/>
          <w:kern w:val="0"/>
          <w:sz w:val="32"/>
          <w:szCs w:val="32"/>
          <w:lang w:bidi="ar"/>
        </w:rPr>
        <w:t xml:space="preserve">  </w:t>
      </w:r>
      <w:r>
        <w:rPr>
          <w:rFonts w:hint="eastAsia" w:ascii="仿宋_GB2312" w:hAnsi="宋体" w:eastAsia="仿宋_GB2312" w:cs="宋体"/>
          <w:kern w:val="0"/>
          <w:sz w:val="32"/>
          <w:szCs w:val="32"/>
          <w:lang w:bidi="ar"/>
        </w:rPr>
        <w:t>根据相关法规规定、国家或行业重大安全生产事故隐患判定标准判定为重大事故隐患的，应立即暂停作业、撤出人员，及时报告当地县级应急管理等相关部门，企业主要负责人组织力量制定重大隐患治理方案并实施。治理结果及时报告当地县级应急管理等相关部门。</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highlight w:val="yellow"/>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val="en-US" w:eastAsia="zh-CN" w:bidi="ar"/>
        </w:rPr>
        <w:t>十八</w:t>
      </w:r>
      <w:r>
        <w:rPr>
          <w:rFonts w:ascii="黑体" w:hAnsi="黑体" w:eastAsia="黑体" w:cs="黑体"/>
          <w:bCs/>
          <w:kern w:val="0"/>
          <w:sz w:val="32"/>
          <w:szCs w:val="32"/>
          <w:lang w:bidi="ar"/>
        </w:rPr>
        <w:t>条</w:t>
      </w:r>
      <w:r>
        <w:rPr>
          <w:rFonts w:ascii="黑体" w:hAnsi="黑体" w:eastAsia="黑体" w:cs="黑体"/>
          <w:b/>
          <w:kern w:val="0"/>
          <w:sz w:val="32"/>
          <w:szCs w:val="32"/>
          <w:lang w:bidi="ar"/>
        </w:rPr>
        <w:t xml:space="preserve"> </w:t>
      </w:r>
      <w:r>
        <w:rPr>
          <w:rFonts w:ascii="仿宋_GB2312" w:hAnsi="宋体" w:eastAsia="仿宋_GB2312" w:cs="宋体"/>
          <w:kern w:val="0"/>
          <w:sz w:val="32"/>
          <w:szCs w:val="32"/>
          <w:lang w:bidi="ar"/>
        </w:rPr>
        <w:t xml:space="preserve"> 隐患治理完成后</w:t>
      </w:r>
      <w:r>
        <w:rPr>
          <w:rFonts w:hint="eastAsia" w:ascii="仿宋_GB2312" w:hAnsi="宋体" w:eastAsia="仿宋_GB2312" w:cs="宋体"/>
          <w:kern w:val="0"/>
          <w:sz w:val="32"/>
          <w:szCs w:val="32"/>
          <w:lang w:bidi="ar"/>
        </w:rPr>
        <w:t>应进行公示</w:t>
      </w:r>
      <w:r>
        <w:rPr>
          <w:rFonts w:ascii="仿宋_GB2312" w:hAnsi="宋体" w:eastAsia="仿宋_GB2312" w:cs="宋体"/>
          <w:kern w:val="0"/>
          <w:sz w:val="32"/>
          <w:szCs w:val="32"/>
          <w:lang w:bidi="ar"/>
        </w:rPr>
        <w:t>，由隐患提出人或提出人所在部门</w:t>
      </w:r>
      <w:r>
        <w:rPr>
          <w:rFonts w:hint="eastAsia" w:ascii="仿宋_GB2312" w:hAnsi="宋体" w:eastAsia="仿宋_GB2312" w:cs="宋体"/>
          <w:kern w:val="0"/>
          <w:sz w:val="32"/>
          <w:szCs w:val="32"/>
          <w:lang w:bidi="ar"/>
        </w:rPr>
        <w:t>主要</w:t>
      </w:r>
      <w:r>
        <w:rPr>
          <w:rFonts w:ascii="仿宋_GB2312" w:hAnsi="宋体" w:eastAsia="仿宋_GB2312" w:cs="宋体"/>
          <w:kern w:val="0"/>
          <w:sz w:val="32"/>
          <w:szCs w:val="32"/>
          <w:lang w:bidi="ar"/>
        </w:rPr>
        <w:t>负责人组织验收与评估，实现闭环管理。</w:t>
      </w:r>
    </w:p>
    <w:p>
      <w:pPr>
        <w:pStyle w:val="2"/>
        <w:keepNext w:val="0"/>
        <w:keepLines w:val="0"/>
        <w:pageBreakBefore w:val="0"/>
        <w:kinsoku/>
        <w:wordWrap/>
        <w:overflowPunct/>
        <w:topLinePunct w:val="0"/>
        <w:autoSpaceDE/>
        <w:autoSpaceDN/>
        <w:bidi w:val="0"/>
        <w:spacing w:line="560" w:lineRule="exact"/>
        <w:textAlignment w:val="auto"/>
        <w:rPr>
          <w:sz w:val="32"/>
          <w:szCs w:val="32"/>
        </w:rPr>
      </w:pPr>
    </w:p>
    <w:p>
      <w:pPr>
        <w:keepNext w:val="0"/>
        <w:keepLines w:val="0"/>
        <w:pageBreakBefore w:val="0"/>
        <w:kinsoku/>
        <w:wordWrap/>
        <w:overflowPunct/>
        <w:topLinePunct w:val="0"/>
        <w:autoSpaceDE/>
        <w:autoSpaceDN/>
        <w:bidi w:val="0"/>
        <w:spacing w:before="312" w:beforeLines="100" w:after="312" w:afterLines="100" w:line="560" w:lineRule="exact"/>
        <w:jc w:val="center"/>
        <w:textAlignment w:val="auto"/>
        <w:outlineLvl w:val="0"/>
        <w:rPr>
          <w:rFonts w:ascii="宋体" w:hAnsi="宋体" w:cs="宋体"/>
          <w:b/>
          <w:kern w:val="0"/>
          <w:sz w:val="32"/>
          <w:szCs w:val="32"/>
          <w:lang w:bidi="ar"/>
        </w:rPr>
      </w:pPr>
      <w:r>
        <w:rPr>
          <w:rFonts w:ascii="宋体" w:hAnsi="宋体" w:cs="宋体"/>
          <w:b/>
          <w:kern w:val="0"/>
          <w:sz w:val="32"/>
          <w:szCs w:val="32"/>
          <w:lang w:bidi="ar"/>
        </w:rPr>
        <w:t xml:space="preserve">第四章  </w:t>
      </w:r>
      <w:r>
        <w:rPr>
          <w:rFonts w:hint="eastAsia" w:ascii="宋体" w:hAnsi="宋体" w:cs="宋体"/>
          <w:b/>
          <w:kern w:val="0"/>
          <w:sz w:val="32"/>
          <w:szCs w:val="32"/>
          <w:lang w:bidi="ar"/>
        </w:rPr>
        <w:t>其 他</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val="en-US" w:eastAsia="zh-CN" w:bidi="ar"/>
        </w:rPr>
        <w:t>十九</w:t>
      </w:r>
      <w:r>
        <w:rPr>
          <w:rFonts w:ascii="黑体" w:hAnsi="黑体" w:eastAsia="黑体" w:cs="黑体"/>
          <w:bCs/>
          <w:kern w:val="0"/>
          <w:sz w:val="32"/>
          <w:szCs w:val="32"/>
          <w:lang w:bidi="ar"/>
        </w:rPr>
        <w:t>条</w:t>
      </w:r>
      <w:r>
        <w:rPr>
          <w:rFonts w:ascii="仿宋_GB2312" w:hAnsi="宋体" w:eastAsia="仿宋_GB2312" w:cs="宋体"/>
          <w:kern w:val="0"/>
          <w:sz w:val="32"/>
          <w:szCs w:val="32"/>
          <w:lang w:bidi="ar"/>
        </w:rPr>
        <w:t xml:space="preserve"> </w:t>
      </w:r>
      <w:r>
        <w:rPr>
          <w:rFonts w:hint="eastAsia" w:ascii="仿宋_GB2312" w:hAnsi="宋体" w:eastAsia="仿宋_GB2312" w:cs="宋体"/>
          <w:kern w:val="0"/>
          <w:sz w:val="32"/>
          <w:szCs w:val="32"/>
          <w:lang w:bidi="ar"/>
        </w:rPr>
        <w:t xml:space="preserve"> 企业应将</w:t>
      </w:r>
      <w:r>
        <w:rPr>
          <w:rFonts w:ascii="仿宋_GB2312" w:hAnsi="宋体" w:eastAsia="仿宋_GB2312" w:cs="宋体"/>
          <w:kern w:val="0"/>
          <w:sz w:val="32"/>
          <w:szCs w:val="32"/>
          <w:lang w:bidi="ar"/>
        </w:rPr>
        <w:t>岗位风险</w:t>
      </w:r>
      <w:r>
        <w:rPr>
          <w:rFonts w:hint="eastAsia" w:ascii="仿宋_GB2312" w:hAnsi="宋体" w:eastAsia="仿宋_GB2312" w:cs="宋体"/>
          <w:kern w:val="0"/>
          <w:sz w:val="32"/>
          <w:szCs w:val="32"/>
          <w:lang w:bidi="ar"/>
        </w:rPr>
        <w:t>辨识方法、</w:t>
      </w:r>
      <w:r>
        <w:rPr>
          <w:rFonts w:ascii="仿宋_GB2312" w:hAnsi="宋体" w:eastAsia="仿宋_GB2312" w:cs="宋体"/>
          <w:kern w:val="0"/>
          <w:sz w:val="32"/>
          <w:szCs w:val="32"/>
          <w:lang w:bidi="ar"/>
        </w:rPr>
        <w:t>管控措施和隐患排查</w:t>
      </w:r>
      <w:r>
        <w:rPr>
          <w:rFonts w:hint="eastAsia" w:ascii="仿宋_GB2312" w:hAnsi="宋体" w:eastAsia="仿宋_GB2312" w:cs="宋体"/>
          <w:kern w:val="0"/>
          <w:sz w:val="32"/>
          <w:szCs w:val="32"/>
          <w:lang w:eastAsia="zh-CN" w:bidi="ar"/>
        </w:rPr>
        <w:t>治理</w:t>
      </w:r>
      <w:r>
        <w:rPr>
          <w:rFonts w:ascii="仿宋_GB2312" w:hAnsi="宋体" w:eastAsia="仿宋_GB2312" w:cs="宋体"/>
          <w:kern w:val="0"/>
          <w:sz w:val="32"/>
          <w:szCs w:val="32"/>
          <w:lang w:bidi="ar"/>
        </w:rPr>
        <w:t>的</w:t>
      </w:r>
      <w:r>
        <w:rPr>
          <w:rFonts w:hint="eastAsia" w:ascii="仿宋_GB2312" w:hAnsi="宋体" w:eastAsia="仿宋_GB2312" w:cs="宋体"/>
          <w:kern w:val="0"/>
          <w:sz w:val="32"/>
          <w:szCs w:val="32"/>
          <w:lang w:bidi="ar"/>
        </w:rPr>
        <w:t>内容纳入全员培训计划，定期开展岗位培训。</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bidi="ar"/>
        </w:rPr>
        <w:t>二十</w:t>
      </w:r>
      <w:r>
        <w:rPr>
          <w:rFonts w:ascii="黑体" w:hAnsi="黑体" w:eastAsia="黑体" w:cs="黑体"/>
          <w:bCs/>
          <w:kern w:val="0"/>
          <w:sz w:val="32"/>
          <w:szCs w:val="32"/>
          <w:lang w:bidi="ar"/>
        </w:rPr>
        <w:t>条</w:t>
      </w:r>
      <w:r>
        <w:rPr>
          <w:rFonts w:ascii="仿宋_GB2312" w:hAnsi="宋体" w:eastAsia="仿宋_GB2312" w:cs="宋体"/>
          <w:kern w:val="0"/>
          <w:sz w:val="32"/>
          <w:szCs w:val="32"/>
          <w:lang w:bidi="ar"/>
        </w:rPr>
        <w:t xml:space="preserve">  企业应当根据岗位</w:t>
      </w:r>
      <w:r>
        <w:rPr>
          <w:rFonts w:hint="eastAsia" w:ascii="仿宋_GB2312" w:hAnsi="宋体" w:eastAsia="仿宋_GB2312" w:cs="宋体"/>
          <w:kern w:val="0"/>
          <w:sz w:val="32"/>
          <w:szCs w:val="32"/>
          <w:lang w:bidi="ar"/>
        </w:rPr>
        <w:t>风险</w:t>
      </w:r>
      <w:r>
        <w:rPr>
          <w:rFonts w:ascii="仿宋_GB2312" w:hAnsi="宋体" w:eastAsia="仿宋_GB2312" w:cs="宋体"/>
          <w:kern w:val="0"/>
          <w:sz w:val="32"/>
          <w:szCs w:val="32"/>
          <w:lang w:bidi="ar"/>
        </w:rPr>
        <w:t>辨识和评价结果，分别制定各岗位的风险控制措施，列明岗位管控措施</w:t>
      </w:r>
      <w:r>
        <w:rPr>
          <w:rFonts w:hint="eastAsia" w:ascii="仿宋_GB2312" w:hAnsi="宋体" w:eastAsia="仿宋_GB2312" w:cs="宋体"/>
          <w:kern w:val="0"/>
          <w:sz w:val="32"/>
          <w:szCs w:val="32"/>
          <w:lang w:bidi="ar"/>
        </w:rPr>
        <w:t>和隐患排查</w:t>
      </w:r>
      <w:r>
        <w:rPr>
          <w:rFonts w:hint="eastAsia" w:ascii="仿宋_GB2312" w:hAnsi="宋体" w:eastAsia="仿宋_GB2312" w:cs="宋体"/>
          <w:kern w:val="0"/>
          <w:sz w:val="32"/>
          <w:szCs w:val="32"/>
          <w:lang w:eastAsia="zh-CN" w:bidi="ar"/>
        </w:rPr>
        <w:t>治理</w:t>
      </w:r>
      <w:r>
        <w:rPr>
          <w:rFonts w:hint="eastAsia" w:ascii="仿宋_GB2312" w:hAnsi="宋体" w:eastAsia="仿宋_GB2312" w:cs="宋体"/>
          <w:kern w:val="0"/>
          <w:sz w:val="32"/>
          <w:szCs w:val="32"/>
          <w:lang w:bidi="ar"/>
        </w:rPr>
        <w:t>内容</w:t>
      </w:r>
      <w:r>
        <w:rPr>
          <w:rFonts w:ascii="仿宋_GB2312" w:hAnsi="宋体" w:eastAsia="仿宋_GB2312" w:cs="宋体"/>
          <w:kern w:val="0"/>
          <w:sz w:val="32"/>
          <w:szCs w:val="32"/>
          <w:lang w:bidi="ar"/>
        </w:rPr>
        <w:t>，形成“一岗一清单”。</w:t>
      </w:r>
    </w:p>
    <w:p>
      <w:pPr>
        <w:pStyle w:val="2"/>
        <w:keepNext w:val="0"/>
        <w:keepLines w:val="0"/>
        <w:pageBreakBefore w:val="0"/>
        <w:kinsoku/>
        <w:wordWrap/>
        <w:overflowPunct/>
        <w:topLinePunct w:val="0"/>
        <w:autoSpaceDE/>
        <w:autoSpaceDN/>
        <w:bidi w:val="0"/>
        <w:spacing w:after="0" w:line="560" w:lineRule="exact"/>
        <w:ind w:left="0" w:leftChars="0" w:firstLine="640"/>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bidi="ar"/>
        </w:rPr>
        <w:t>二十</w:t>
      </w:r>
      <w:r>
        <w:rPr>
          <w:rFonts w:hint="eastAsia" w:ascii="黑体" w:hAnsi="黑体" w:eastAsia="黑体" w:cs="黑体"/>
          <w:bCs/>
          <w:kern w:val="0"/>
          <w:sz w:val="32"/>
          <w:szCs w:val="32"/>
          <w:lang w:val="en-US" w:eastAsia="zh-CN" w:bidi="ar"/>
        </w:rPr>
        <w:t>一</w:t>
      </w:r>
      <w:r>
        <w:rPr>
          <w:rFonts w:ascii="黑体" w:hAnsi="黑体" w:eastAsia="黑体" w:cs="黑体"/>
          <w:bCs/>
          <w:kern w:val="0"/>
          <w:sz w:val="32"/>
          <w:szCs w:val="32"/>
          <w:lang w:bidi="ar"/>
        </w:rPr>
        <w:t>条</w:t>
      </w:r>
      <w:r>
        <w:rPr>
          <w:rFonts w:ascii="仿宋_GB2312" w:hAnsi="宋体" w:eastAsia="仿宋_GB2312" w:cs="宋体"/>
          <w:kern w:val="0"/>
          <w:sz w:val="32"/>
          <w:szCs w:val="32"/>
          <w:lang w:bidi="ar"/>
        </w:rPr>
        <w:t xml:space="preserve">  企业应将</w:t>
      </w:r>
      <w:r>
        <w:rPr>
          <w:rFonts w:hint="eastAsia" w:ascii="仿宋_GB2312" w:hAnsi="宋体" w:eastAsia="仿宋_GB2312" w:cs="宋体"/>
          <w:kern w:val="0"/>
          <w:sz w:val="32"/>
          <w:szCs w:val="32"/>
          <w:lang w:bidi="ar"/>
        </w:rPr>
        <w:t>风险管控</w:t>
      </w:r>
      <w:r>
        <w:rPr>
          <w:rFonts w:ascii="仿宋_GB2312" w:hAnsi="宋体" w:eastAsia="仿宋_GB2312" w:cs="宋体"/>
          <w:kern w:val="0"/>
          <w:sz w:val="32"/>
          <w:szCs w:val="32"/>
          <w:lang w:bidi="ar"/>
        </w:rPr>
        <w:t>和隐患排查治理运行过程及结果纳入本单位</w:t>
      </w:r>
      <w:r>
        <w:rPr>
          <w:rFonts w:hint="eastAsia" w:ascii="仿宋_GB2312" w:hAnsi="宋体" w:eastAsia="仿宋_GB2312" w:cs="宋体"/>
          <w:kern w:val="0"/>
          <w:sz w:val="32"/>
          <w:szCs w:val="32"/>
          <w:lang w:bidi="ar"/>
        </w:rPr>
        <w:t>责任制考核结果及</w:t>
      </w:r>
      <w:r>
        <w:rPr>
          <w:rFonts w:ascii="仿宋_GB2312" w:hAnsi="宋体" w:eastAsia="仿宋_GB2312" w:cs="宋体"/>
          <w:kern w:val="0"/>
          <w:sz w:val="32"/>
          <w:szCs w:val="32"/>
          <w:lang w:bidi="ar"/>
        </w:rPr>
        <w:t>奖惩考核制度中，确保落实到位。</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宋体" w:eastAsia="仿宋_GB2312" w:cs="宋体"/>
          <w:kern w:val="0"/>
          <w:sz w:val="32"/>
          <w:szCs w:val="32"/>
          <w:lang w:bidi="ar"/>
        </w:rPr>
      </w:pPr>
      <w:r>
        <w:rPr>
          <w:rFonts w:ascii="黑体" w:hAnsi="黑体" w:eastAsia="黑体" w:cs="黑体"/>
          <w:bCs/>
          <w:kern w:val="0"/>
          <w:sz w:val="32"/>
          <w:szCs w:val="32"/>
          <w:lang w:bidi="ar"/>
        </w:rPr>
        <w:t>第</w:t>
      </w:r>
      <w:r>
        <w:rPr>
          <w:rFonts w:hint="eastAsia" w:ascii="黑体" w:hAnsi="黑体" w:eastAsia="黑体" w:cs="黑体"/>
          <w:bCs/>
          <w:kern w:val="0"/>
          <w:sz w:val="32"/>
          <w:szCs w:val="32"/>
          <w:lang w:bidi="ar"/>
        </w:rPr>
        <w:t>二十</w:t>
      </w:r>
      <w:r>
        <w:rPr>
          <w:rFonts w:hint="eastAsia" w:ascii="黑体" w:hAnsi="黑体" w:eastAsia="黑体" w:cs="黑体"/>
          <w:bCs/>
          <w:kern w:val="0"/>
          <w:sz w:val="32"/>
          <w:szCs w:val="32"/>
          <w:lang w:val="en-US" w:eastAsia="zh-CN" w:bidi="ar"/>
        </w:rPr>
        <w:t>二</w:t>
      </w:r>
      <w:r>
        <w:rPr>
          <w:rFonts w:ascii="黑体" w:hAnsi="黑体" w:eastAsia="黑体" w:cs="黑体"/>
          <w:bCs/>
          <w:kern w:val="0"/>
          <w:sz w:val="32"/>
          <w:szCs w:val="32"/>
          <w:lang w:bidi="ar"/>
        </w:rPr>
        <w:t>条</w:t>
      </w:r>
      <w:r>
        <w:rPr>
          <w:rFonts w:ascii="仿宋_GB2312" w:hAnsi="宋体" w:eastAsia="仿宋_GB2312" w:cs="宋体"/>
          <w:kern w:val="0"/>
          <w:sz w:val="32"/>
          <w:szCs w:val="32"/>
          <w:lang w:bidi="ar"/>
        </w:rPr>
        <w:t xml:space="preserve">  企业应完整保存体现风险分级管控和隐患排查治理过程的记录资料，并分类建档管理。</w:t>
      </w:r>
    </w:p>
    <w:p>
      <w:pPr>
        <w:pStyle w:val="2"/>
        <w:keepNext w:val="0"/>
        <w:keepLines w:val="0"/>
        <w:pageBreakBefore w:val="0"/>
        <w:kinsoku/>
        <w:wordWrap/>
        <w:overflowPunct/>
        <w:topLinePunct w:val="0"/>
        <w:autoSpaceDE/>
        <w:autoSpaceDN/>
        <w:bidi w:val="0"/>
        <w:spacing w:line="560" w:lineRule="exact"/>
        <w:textAlignment w:val="auto"/>
        <w:rPr>
          <w:sz w:val="32"/>
          <w:szCs w:val="32"/>
        </w:rPr>
      </w:pPr>
    </w:p>
    <w:p>
      <w:pPr>
        <w:pStyle w:val="2"/>
        <w:ind w:firstLine="720"/>
        <w:rPr>
          <w:rFonts w:ascii="仿宋" w:hAnsi="仿宋" w:eastAsia="仿宋" w:cs="宋体"/>
          <w:kern w:val="0"/>
          <w:sz w:val="36"/>
          <w:szCs w:val="36"/>
        </w:rPr>
      </w:pPr>
    </w:p>
    <w:p>
      <w:pPr>
        <w:pStyle w:val="2"/>
        <w:ind w:left="0" w:leftChars="0" w:firstLine="0" w:firstLineChars="0"/>
        <w:rPr>
          <w:rFonts w:ascii="仿宋" w:hAnsi="仿宋" w:eastAsia="仿宋" w:cs="宋体"/>
          <w:kern w:val="0"/>
          <w:sz w:val="36"/>
          <w:szCs w:val="36"/>
        </w:rPr>
        <w:sectPr>
          <w:footerReference r:id="rId3" w:type="default"/>
          <w:pgSz w:w="11906" w:h="16838"/>
          <w:pgMar w:top="2098" w:right="1474" w:bottom="1984" w:left="1587" w:header="851" w:footer="992" w:gutter="0"/>
          <w:cols w:space="720" w:num="1"/>
          <w:docGrid w:type="lines" w:linePitch="312" w:charSpace="0"/>
        </w:sectPr>
      </w:pPr>
    </w:p>
    <w:p>
      <w:pPr>
        <w:pStyle w:val="2"/>
        <w:ind w:left="0" w:leftChars="0" w:firstLine="0" w:firstLineChars="0"/>
        <w:rPr>
          <w:rFonts w:hint="eastAsia" w:ascii="黑体" w:hAnsi="黑体" w:eastAsia="黑体" w:cs="黑体"/>
          <w:kern w:val="0"/>
          <w:sz w:val="32"/>
          <w:szCs w:val="32"/>
        </w:rPr>
      </w:pPr>
      <w:r>
        <w:rPr>
          <w:rFonts w:hint="eastAsia" w:ascii="黑体" w:hAnsi="黑体" w:eastAsia="黑体" w:cs="黑体"/>
          <w:kern w:val="0"/>
          <w:sz w:val="32"/>
          <w:szCs w:val="32"/>
        </w:rPr>
        <w:t>附件1</w:t>
      </w:r>
      <w:bookmarkStart w:id="0" w:name="_GoBack"/>
      <w:bookmarkEnd w:id="0"/>
    </w:p>
    <w:p>
      <w:pPr>
        <w:pStyle w:val="2"/>
        <w:spacing w:after="0"/>
        <w:ind w:left="0" w:leftChars="0" w:firstLine="0" w:firstLineChars="0"/>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操作岗位风险管控与隐患排查清单</w:t>
      </w:r>
    </w:p>
    <w:tbl>
      <w:tblPr>
        <w:tblStyle w:val="11"/>
        <w:tblW w:w="12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904"/>
        <w:gridCol w:w="1076"/>
        <w:gridCol w:w="1263"/>
        <w:gridCol w:w="1153"/>
        <w:gridCol w:w="1102"/>
        <w:gridCol w:w="1102"/>
        <w:gridCol w:w="1240"/>
        <w:gridCol w:w="1240"/>
        <w:gridCol w:w="124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pStyle w:val="15"/>
              <w:ind w:firstLine="0" w:firstLineChars="0"/>
              <w:jc w:val="center"/>
              <w:rPr>
                <w:rFonts w:ascii="仿宋" w:hAnsi="仿宋" w:eastAsia="仿宋" w:cs="仿宋"/>
                <w:szCs w:val="21"/>
              </w:rPr>
            </w:pPr>
            <w:r>
              <w:rPr>
                <w:rFonts w:hint="eastAsia" w:ascii="仿宋" w:hAnsi="仿宋" w:eastAsia="仿宋" w:cs="仿宋"/>
                <w:szCs w:val="21"/>
              </w:rPr>
              <w:t>岗位名称</w:t>
            </w:r>
          </w:p>
        </w:tc>
        <w:tc>
          <w:tcPr>
            <w:tcW w:w="904" w:type="dxa"/>
            <w:vAlign w:val="center"/>
          </w:tcPr>
          <w:p>
            <w:pPr>
              <w:pStyle w:val="15"/>
              <w:ind w:firstLine="0" w:firstLineChars="0"/>
              <w:jc w:val="center"/>
              <w:rPr>
                <w:rFonts w:ascii="仿宋" w:hAnsi="仿宋" w:eastAsia="仿宋" w:cs="仿宋"/>
                <w:szCs w:val="21"/>
              </w:rPr>
            </w:pPr>
            <w:r>
              <w:rPr>
                <w:rFonts w:hint="eastAsia" w:ascii="仿宋" w:hAnsi="仿宋" w:eastAsia="仿宋" w:cs="仿宋"/>
                <w:szCs w:val="21"/>
              </w:rPr>
              <w:t>岗位人数</w:t>
            </w:r>
          </w:p>
        </w:tc>
        <w:tc>
          <w:tcPr>
            <w:tcW w:w="1076" w:type="dxa"/>
            <w:vAlign w:val="center"/>
          </w:tcPr>
          <w:p>
            <w:pPr>
              <w:pStyle w:val="15"/>
              <w:ind w:firstLine="0" w:firstLineChars="0"/>
              <w:jc w:val="center"/>
              <w:rPr>
                <w:rFonts w:ascii="仿宋" w:hAnsi="仿宋" w:eastAsia="仿宋" w:cs="仿宋"/>
                <w:szCs w:val="21"/>
              </w:rPr>
            </w:pPr>
            <w:r>
              <w:rPr>
                <w:rFonts w:hint="eastAsia" w:ascii="仿宋" w:hAnsi="仿宋" w:eastAsia="仿宋" w:cs="仿宋"/>
                <w:szCs w:val="21"/>
              </w:rPr>
              <w:t>主要设备设施</w:t>
            </w:r>
          </w:p>
        </w:tc>
        <w:tc>
          <w:tcPr>
            <w:tcW w:w="1263" w:type="dxa"/>
            <w:vAlign w:val="center"/>
          </w:tcPr>
          <w:p>
            <w:pPr>
              <w:pStyle w:val="15"/>
              <w:ind w:firstLine="0" w:firstLineChars="0"/>
              <w:jc w:val="center"/>
              <w:rPr>
                <w:rFonts w:ascii="仿宋" w:hAnsi="仿宋" w:eastAsia="仿宋" w:cs="仿宋"/>
                <w:szCs w:val="21"/>
              </w:rPr>
            </w:pPr>
            <w:r>
              <w:rPr>
                <w:rFonts w:hint="eastAsia" w:ascii="仿宋" w:hAnsi="仿宋" w:eastAsia="仿宋" w:cs="仿宋"/>
                <w:szCs w:val="21"/>
              </w:rPr>
              <w:t>主要作业活动</w:t>
            </w:r>
          </w:p>
        </w:tc>
        <w:tc>
          <w:tcPr>
            <w:tcW w:w="1153" w:type="dxa"/>
            <w:vAlign w:val="center"/>
          </w:tcPr>
          <w:p>
            <w:pPr>
              <w:pStyle w:val="15"/>
              <w:ind w:firstLine="0" w:firstLineChars="0"/>
              <w:jc w:val="center"/>
              <w:rPr>
                <w:rFonts w:ascii="仿宋" w:hAnsi="仿宋" w:eastAsia="仿宋" w:cs="仿宋"/>
                <w:szCs w:val="21"/>
              </w:rPr>
            </w:pPr>
            <w:r>
              <w:rPr>
                <w:rFonts w:hint="eastAsia" w:ascii="仿宋" w:hAnsi="仿宋" w:eastAsia="仿宋" w:cs="仿宋"/>
                <w:szCs w:val="21"/>
              </w:rPr>
              <w:t>可能导致的事故类型</w:t>
            </w:r>
          </w:p>
        </w:tc>
        <w:tc>
          <w:tcPr>
            <w:tcW w:w="1102" w:type="dxa"/>
            <w:vAlign w:val="center"/>
          </w:tcPr>
          <w:p>
            <w:pPr>
              <w:pStyle w:val="15"/>
              <w:ind w:firstLine="0" w:firstLineChars="0"/>
              <w:jc w:val="center"/>
              <w:rPr>
                <w:rFonts w:ascii="仿宋" w:hAnsi="仿宋" w:eastAsia="仿宋" w:cs="仿宋"/>
                <w:szCs w:val="21"/>
              </w:rPr>
            </w:pPr>
            <w:r>
              <w:rPr>
                <w:rFonts w:hint="eastAsia" w:ascii="仿宋" w:hAnsi="仿宋" w:eastAsia="仿宋" w:cs="仿宋"/>
                <w:szCs w:val="21"/>
              </w:rPr>
              <w:t>可能导致事故的原因</w:t>
            </w:r>
          </w:p>
        </w:tc>
        <w:tc>
          <w:tcPr>
            <w:tcW w:w="1102" w:type="dxa"/>
            <w:vAlign w:val="center"/>
          </w:tcPr>
          <w:p>
            <w:pPr>
              <w:pStyle w:val="15"/>
              <w:ind w:firstLine="0" w:firstLineChars="0"/>
              <w:jc w:val="center"/>
              <w:rPr>
                <w:rFonts w:ascii="仿宋" w:hAnsi="仿宋" w:eastAsia="仿宋" w:cs="仿宋"/>
                <w:szCs w:val="21"/>
              </w:rPr>
            </w:pPr>
            <w:r>
              <w:rPr>
                <w:rFonts w:hint="eastAsia" w:ascii="仿宋" w:hAnsi="仿宋" w:eastAsia="仿宋" w:cs="仿宋"/>
                <w:szCs w:val="21"/>
              </w:rPr>
              <w:t>风险等级</w:t>
            </w:r>
          </w:p>
        </w:tc>
        <w:tc>
          <w:tcPr>
            <w:tcW w:w="1240" w:type="dxa"/>
            <w:vAlign w:val="center"/>
          </w:tcPr>
          <w:p>
            <w:pPr>
              <w:widowControl/>
              <w:jc w:val="center"/>
              <w:textAlignment w:val="bottom"/>
              <w:rPr>
                <w:rFonts w:ascii="仿宋" w:hAnsi="仿宋" w:eastAsia="仿宋" w:cs="仿宋"/>
                <w:kern w:val="0"/>
              </w:rPr>
            </w:pPr>
            <w:r>
              <w:rPr>
                <w:rFonts w:hint="eastAsia" w:ascii="仿宋" w:hAnsi="仿宋" w:eastAsia="仿宋" w:cs="仿宋"/>
                <w:kern w:val="0"/>
                <w:lang w:bidi="ar"/>
              </w:rPr>
              <w:t>管控措施</w:t>
            </w:r>
          </w:p>
        </w:tc>
        <w:tc>
          <w:tcPr>
            <w:tcW w:w="1240" w:type="dxa"/>
            <w:vAlign w:val="center"/>
          </w:tcPr>
          <w:p>
            <w:pPr>
              <w:widowControl/>
              <w:jc w:val="center"/>
              <w:textAlignment w:val="bottom"/>
              <w:rPr>
                <w:rFonts w:ascii="仿宋" w:hAnsi="仿宋" w:eastAsia="仿宋" w:cs="仿宋"/>
                <w:kern w:val="0"/>
                <w:lang w:bidi="ar"/>
              </w:rPr>
            </w:pPr>
            <w:r>
              <w:rPr>
                <w:rFonts w:hint="eastAsia" w:ascii="仿宋" w:hAnsi="仿宋" w:eastAsia="仿宋" w:cs="仿宋"/>
                <w:kern w:val="0"/>
                <w:lang w:bidi="ar"/>
              </w:rPr>
              <w:t>排查内容</w:t>
            </w:r>
          </w:p>
        </w:tc>
        <w:tc>
          <w:tcPr>
            <w:tcW w:w="1240" w:type="dxa"/>
            <w:vAlign w:val="center"/>
          </w:tcPr>
          <w:p>
            <w:pPr>
              <w:widowControl/>
              <w:jc w:val="center"/>
              <w:textAlignment w:val="bottom"/>
              <w:rPr>
                <w:rFonts w:ascii="仿宋" w:hAnsi="仿宋" w:eastAsia="仿宋" w:cs="仿宋"/>
                <w:kern w:val="0"/>
                <w:lang w:bidi="ar"/>
              </w:rPr>
            </w:pPr>
            <w:r>
              <w:rPr>
                <w:rFonts w:hint="eastAsia" w:ascii="仿宋" w:hAnsi="仿宋" w:eastAsia="仿宋" w:cs="仿宋"/>
                <w:kern w:val="0"/>
                <w:lang w:bidi="ar"/>
              </w:rPr>
              <w:t>责任人</w:t>
            </w:r>
          </w:p>
        </w:tc>
        <w:tc>
          <w:tcPr>
            <w:tcW w:w="1240" w:type="dxa"/>
            <w:vAlign w:val="center"/>
          </w:tcPr>
          <w:p>
            <w:pPr>
              <w:widowControl/>
              <w:jc w:val="center"/>
              <w:textAlignment w:val="bottom"/>
              <w:rPr>
                <w:rFonts w:ascii="仿宋" w:hAnsi="仿宋" w:eastAsia="仿宋" w:cs="仿宋"/>
                <w:kern w:val="0"/>
                <w:lang w:bidi="ar"/>
              </w:rPr>
            </w:pPr>
            <w:r>
              <w:rPr>
                <w:rFonts w:hint="eastAsia" w:ascii="仿宋" w:hAnsi="仿宋" w:eastAsia="仿宋" w:cs="仿宋"/>
                <w:kern w:val="0"/>
                <w:lang w:bidi="ar"/>
              </w:rPr>
              <w:t>排查周期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restart"/>
            <w:vAlign w:val="center"/>
          </w:tcPr>
          <w:p>
            <w:pPr>
              <w:pStyle w:val="15"/>
              <w:ind w:firstLine="0" w:firstLineChars="0"/>
              <w:jc w:val="center"/>
              <w:rPr>
                <w:rFonts w:ascii="仿宋" w:hAnsi="仿宋" w:eastAsia="仿宋" w:cs="仿宋"/>
                <w:szCs w:val="21"/>
              </w:rPr>
            </w:pPr>
          </w:p>
        </w:tc>
        <w:tc>
          <w:tcPr>
            <w:tcW w:w="904" w:type="dxa"/>
            <w:vMerge w:val="restart"/>
            <w:vAlign w:val="center"/>
          </w:tcPr>
          <w:p>
            <w:pPr>
              <w:pStyle w:val="15"/>
              <w:ind w:firstLine="0" w:firstLineChars="0"/>
              <w:jc w:val="center"/>
              <w:rPr>
                <w:rFonts w:ascii="仿宋" w:hAnsi="仿宋" w:eastAsia="仿宋" w:cs="仿宋"/>
                <w:szCs w:val="21"/>
              </w:rPr>
            </w:pPr>
          </w:p>
        </w:tc>
        <w:tc>
          <w:tcPr>
            <w:tcW w:w="1076" w:type="dxa"/>
            <w:vMerge w:val="restart"/>
            <w:vAlign w:val="center"/>
          </w:tcPr>
          <w:p>
            <w:pPr>
              <w:pStyle w:val="15"/>
              <w:ind w:firstLine="0" w:firstLineChars="0"/>
              <w:jc w:val="center"/>
              <w:rPr>
                <w:rFonts w:ascii="仿宋" w:hAnsi="仿宋" w:eastAsia="仿宋" w:cs="仿宋"/>
                <w:szCs w:val="21"/>
              </w:rPr>
            </w:pPr>
          </w:p>
        </w:tc>
        <w:tc>
          <w:tcPr>
            <w:tcW w:w="1263" w:type="dxa"/>
            <w:vAlign w:val="center"/>
          </w:tcPr>
          <w:p>
            <w:pPr>
              <w:pStyle w:val="15"/>
              <w:ind w:firstLine="0" w:firstLineChars="0"/>
              <w:jc w:val="center"/>
              <w:rPr>
                <w:rFonts w:ascii="仿宋" w:hAnsi="仿宋" w:eastAsia="仿宋" w:cs="仿宋"/>
                <w:szCs w:val="21"/>
              </w:rPr>
            </w:pPr>
          </w:p>
        </w:tc>
        <w:tc>
          <w:tcPr>
            <w:tcW w:w="1153" w:type="dxa"/>
            <w:vAlign w:val="center"/>
          </w:tcPr>
          <w:p>
            <w:pPr>
              <w:pStyle w:val="15"/>
              <w:ind w:firstLine="0" w:firstLineChars="0"/>
              <w:jc w:val="center"/>
              <w:rPr>
                <w:rFonts w:ascii="仿宋" w:hAnsi="仿宋" w:eastAsia="仿宋" w:cs="仿宋"/>
                <w:szCs w:val="21"/>
              </w:rPr>
            </w:pPr>
          </w:p>
        </w:tc>
        <w:tc>
          <w:tcPr>
            <w:tcW w:w="1102" w:type="dxa"/>
            <w:vAlign w:val="center"/>
          </w:tcPr>
          <w:p>
            <w:pPr>
              <w:pStyle w:val="15"/>
              <w:ind w:firstLine="0" w:firstLineChars="0"/>
              <w:jc w:val="center"/>
              <w:rPr>
                <w:rFonts w:ascii="仿宋" w:hAnsi="仿宋" w:eastAsia="仿宋" w:cs="仿宋"/>
                <w:szCs w:val="21"/>
              </w:rPr>
            </w:pPr>
          </w:p>
        </w:tc>
        <w:tc>
          <w:tcPr>
            <w:tcW w:w="1102" w:type="dxa"/>
            <w:vMerge w:val="restart"/>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Merge w:val="continue"/>
            <w:vAlign w:val="center"/>
          </w:tcPr>
          <w:p>
            <w:pPr>
              <w:pStyle w:val="15"/>
              <w:ind w:firstLine="0" w:firstLineChars="0"/>
              <w:jc w:val="center"/>
              <w:rPr>
                <w:rFonts w:ascii="仿宋" w:hAnsi="仿宋" w:eastAsia="仿宋" w:cs="仿宋"/>
                <w:szCs w:val="21"/>
              </w:rPr>
            </w:pPr>
          </w:p>
        </w:tc>
        <w:tc>
          <w:tcPr>
            <w:tcW w:w="904" w:type="dxa"/>
            <w:vMerge w:val="continue"/>
            <w:vAlign w:val="center"/>
          </w:tcPr>
          <w:p>
            <w:pPr>
              <w:pStyle w:val="15"/>
              <w:ind w:firstLine="0" w:firstLineChars="0"/>
              <w:jc w:val="center"/>
              <w:rPr>
                <w:rFonts w:ascii="仿宋" w:hAnsi="仿宋" w:eastAsia="仿宋" w:cs="仿宋"/>
                <w:szCs w:val="21"/>
              </w:rPr>
            </w:pPr>
          </w:p>
        </w:tc>
        <w:tc>
          <w:tcPr>
            <w:tcW w:w="1076" w:type="dxa"/>
            <w:vMerge w:val="continue"/>
            <w:vAlign w:val="center"/>
          </w:tcPr>
          <w:p>
            <w:pPr>
              <w:pStyle w:val="15"/>
              <w:ind w:firstLine="0" w:firstLineChars="0"/>
              <w:jc w:val="center"/>
              <w:rPr>
                <w:rFonts w:ascii="仿宋" w:hAnsi="仿宋" w:eastAsia="仿宋" w:cs="仿宋"/>
                <w:szCs w:val="21"/>
              </w:rPr>
            </w:pPr>
          </w:p>
        </w:tc>
        <w:tc>
          <w:tcPr>
            <w:tcW w:w="1263" w:type="dxa"/>
            <w:vAlign w:val="center"/>
          </w:tcPr>
          <w:p>
            <w:pPr>
              <w:pStyle w:val="15"/>
              <w:ind w:firstLine="0" w:firstLineChars="0"/>
              <w:jc w:val="center"/>
              <w:rPr>
                <w:rFonts w:ascii="仿宋" w:hAnsi="仿宋" w:eastAsia="仿宋" w:cs="仿宋"/>
                <w:szCs w:val="21"/>
              </w:rPr>
            </w:pPr>
          </w:p>
        </w:tc>
        <w:tc>
          <w:tcPr>
            <w:tcW w:w="1153" w:type="dxa"/>
            <w:vAlign w:val="center"/>
          </w:tcPr>
          <w:p>
            <w:pPr>
              <w:pStyle w:val="15"/>
              <w:ind w:firstLine="0" w:firstLineChars="0"/>
              <w:jc w:val="center"/>
              <w:rPr>
                <w:rFonts w:ascii="仿宋" w:hAnsi="仿宋" w:eastAsia="仿宋" w:cs="仿宋"/>
                <w:szCs w:val="21"/>
              </w:rPr>
            </w:pPr>
          </w:p>
        </w:tc>
        <w:tc>
          <w:tcPr>
            <w:tcW w:w="1102" w:type="dxa"/>
            <w:vAlign w:val="center"/>
          </w:tcPr>
          <w:p>
            <w:pPr>
              <w:pStyle w:val="15"/>
              <w:ind w:firstLine="0" w:firstLineChars="0"/>
              <w:jc w:val="center"/>
              <w:rPr>
                <w:rFonts w:ascii="仿宋" w:hAnsi="仿宋" w:eastAsia="仿宋" w:cs="仿宋"/>
                <w:szCs w:val="21"/>
              </w:rPr>
            </w:pPr>
          </w:p>
        </w:tc>
        <w:tc>
          <w:tcPr>
            <w:tcW w:w="1102" w:type="dxa"/>
            <w:vMerge w:val="continue"/>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vMerge w:val="continue"/>
            <w:vAlign w:val="center"/>
          </w:tcPr>
          <w:p>
            <w:pPr>
              <w:pStyle w:val="15"/>
              <w:ind w:firstLine="0" w:firstLineChars="0"/>
              <w:jc w:val="center"/>
              <w:rPr>
                <w:rFonts w:ascii="仿宋" w:hAnsi="仿宋" w:eastAsia="仿宋" w:cs="仿宋"/>
                <w:szCs w:val="21"/>
              </w:rPr>
            </w:pPr>
          </w:p>
        </w:tc>
        <w:tc>
          <w:tcPr>
            <w:tcW w:w="904" w:type="dxa"/>
            <w:vMerge w:val="continue"/>
            <w:vAlign w:val="center"/>
          </w:tcPr>
          <w:p>
            <w:pPr>
              <w:pStyle w:val="15"/>
              <w:ind w:firstLine="0" w:firstLineChars="0"/>
              <w:jc w:val="center"/>
              <w:rPr>
                <w:rFonts w:ascii="仿宋" w:hAnsi="仿宋" w:eastAsia="仿宋" w:cs="仿宋"/>
                <w:szCs w:val="21"/>
              </w:rPr>
            </w:pPr>
          </w:p>
        </w:tc>
        <w:tc>
          <w:tcPr>
            <w:tcW w:w="1076" w:type="dxa"/>
            <w:vMerge w:val="continue"/>
            <w:vAlign w:val="center"/>
          </w:tcPr>
          <w:p>
            <w:pPr>
              <w:pStyle w:val="15"/>
              <w:ind w:firstLine="0" w:firstLineChars="0"/>
              <w:jc w:val="center"/>
              <w:rPr>
                <w:rFonts w:ascii="仿宋" w:hAnsi="仿宋" w:eastAsia="仿宋" w:cs="仿宋"/>
                <w:szCs w:val="21"/>
              </w:rPr>
            </w:pPr>
          </w:p>
        </w:tc>
        <w:tc>
          <w:tcPr>
            <w:tcW w:w="1263" w:type="dxa"/>
            <w:vAlign w:val="center"/>
          </w:tcPr>
          <w:p>
            <w:pPr>
              <w:pStyle w:val="15"/>
              <w:ind w:firstLine="0" w:firstLineChars="0"/>
              <w:jc w:val="center"/>
              <w:rPr>
                <w:rFonts w:ascii="仿宋" w:hAnsi="仿宋" w:eastAsia="仿宋" w:cs="仿宋"/>
                <w:szCs w:val="21"/>
              </w:rPr>
            </w:pPr>
          </w:p>
        </w:tc>
        <w:tc>
          <w:tcPr>
            <w:tcW w:w="1153" w:type="dxa"/>
            <w:vAlign w:val="center"/>
          </w:tcPr>
          <w:p>
            <w:pPr>
              <w:pStyle w:val="15"/>
              <w:ind w:firstLine="0" w:firstLineChars="0"/>
              <w:jc w:val="center"/>
              <w:rPr>
                <w:rFonts w:ascii="仿宋" w:hAnsi="仿宋" w:eastAsia="仿宋" w:cs="仿宋"/>
                <w:szCs w:val="21"/>
              </w:rPr>
            </w:pPr>
          </w:p>
        </w:tc>
        <w:tc>
          <w:tcPr>
            <w:tcW w:w="1102" w:type="dxa"/>
            <w:vAlign w:val="center"/>
          </w:tcPr>
          <w:p>
            <w:pPr>
              <w:pStyle w:val="15"/>
              <w:ind w:firstLine="0" w:firstLineChars="0"/>
              <w:jc w:val="center"/>
              <w:rPr>
                <w:rFonts w:ascii="仿宋" w:hAnsi="仿宋" w:eastAsia="仿宋" w:cs="仿宋"/>
                <w:szCs w:val="21"/>
              </w:rPr>
            </w:pPr>
          </w:p>
        </w:tc>
        <w:tc>
          <w:tcPr>
            <w:tcW w:w="1102" w:type="dxa"/>
            <w:vMerge w:val="continue"/>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pStyle w:val="15"/>
              <w:ind w:firstLine="0" w:firstLineChars="0"/>
              <w:jc w:val="center"/>
              <w:rPr>
                <w:rFonts w:ascii="仿宋" w:hAnsi="仿宋" w:eastAsia="仿宋" w:cs="仿宋"/>
                <w:szCs w:val="21"/>
              </w:rPr>
            </w:pPr>
          </w:p>
        </w:tc>
        <w:tc>
          <w:tcPr>
            <w:tcW w:w="904" w:type="dxa"/>
            <w:vAlign w:val="center"/>
          </w:tcPr>
          <w:p>
            <w:pPr>
              <w:pStyle w:val="15"/>
              <w:ind w:firstLine="0" w:firstLineChars="0"/>
              <w:jc w:val="center"/>
              <w:rPr>
                <w:rFonts w:ascii="仿宋" w:hAnsi="仿宋" w:eastAsia="仿宋" w:cs="仿宋"/>
                <w:szCs w:val="21"/>
              </w:rPr>
            </w:pPr>
          </w:p>
        </w:tc>
        <w:tc>
          <w:tcPr>
            <w:tcW w:w="1076" w:type="dxa"/>
            <w:vAlign w:val="center"/>
          </w:tcPr>
          <w:p>
            <w:pPr>
              <w:pStyle w:val="15"/>
              <w:ind w:firstLine="0" w:firstLineChars="0"/>
              <w:jc w:val="center"/>
              <w:rPr>
                <w:rFonts w:ascii="仿宋" w:hAnsi="仿宋" w:eastAsia="仿宋" w:cs="仿宋"/>
                <w:szCs w:val="21"/>
              </w:rPr>
            </w:pPr>
          </w:p>
        </w:tc>
        <w:tc>
          <w:tcPr>
            <w:tcW w:w="1263" w:type="dxa"/>
            <w:vAlign w:val="center"/>
          </w:tcPr>
          <w:p>
            <w:pPr>
              <w:pStyle w:val="15"/>
              <w:ind w:firstLine="0" w:firstLineChars="0"/>
              <w:jc w:val="center"/>
              <w:rPr>
                <w:rFonts w:ascii="仿宋" w:hAnsi="仿宋" w:eastAsia="仿宋" w:cs="仿宋"/>
                <w:szCs w:val="21"/>
              </w:rPr>
            </w:pPr>
          </w:p>
        </w:tc>
        <w:tc>
          <w:tcPr>
            <w:tcW w:w="1153" w:type="dxa"/>
            <w:vAlign w:val="center"/>
          </w:tcPr>
          <w:p>
            <w:pPr>
              <w:pStyle w:val="15"/>
              <w:ind w:firstLine="0" w:firstLineChars="0"/>
              <w:jc w:val="center"/>
              <w:rPr>
                <w:rFonts w:ascii="仿宋" w:hAnsi="仿宋" w:eastAsia="仿宋" w:cs="仿宋"/>
                <w:szCs w:val="21"/>
              </w:rPr>
            </w:pPr>
          </w:p>
        </w:tc>
        <w:tc>
          <w:tcPr>
            <w:tcW w:w="1102" w:type="dxa"/>
            <w:vAlign w:val="center"/>
          </w:tcPr>
          <w:p>
            <w:pPr>
              <w:pStyle w:val="15"/>
              <w:ind w:firstLine="0" w:firstLineChars="0"/>
              <w:jc w:val="center"/>
              <w:rPr>
                <w:rFonts w:ascii="仿宋" w:hAnsi="仿宋" w:eastAsia="仿宋" w:cs="仿宋"/>
                <w:szCs w:val="21"/>
              </w:rPr>
            </w:pPr>
          </w:p>
        </w:tc>
        <w:tc>
          <w:tcPr>
            <w:tcW w:w="1102"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vAlign w:val="center"/>
          </w:tcPr>
          <w:p>
            <w:pPr>
              <w:pStyle w:val="15"/>
              <w:ind w:firstLine="0" w:firstLineChars="0"/>
              <w:jc w:val="center"/>
              <w:rPr>
                <w:rFonts w:ascii="仿宋" w:hAnsi="仿宋" w:eastAsia="仿宋" w:cs="仿宋"/>
                <w:szCs w:val="21"/>
              </w:rPr>
            </w:pPr>
          </w:p>
        </w:tc>
        <w:tc>
          <w:tcPr>
            <w:tcW w:w="904" w:type="dxa"/>
            <w:vAlign w:val="center"/>
          </w:tcPr>
          <w:p>
            <w:pPr>
              <w:pStyle w:val="15"/>
              <w:ind w:firstLine="0" w:firstLineChars="0"/>
              <w:jc w:val="center"/>
              <w:rPr>
                <w:rFonts w:ascii="仿宋" w:hAnsi="仿宋" w:eastAsia="仿宋" w:cs="仿宋"/>
                <w:szCs w:val="21"/>
              </w:rPr>
            </w:pPr>
          </w:p>
        </w:tc>
        <w:tc>
          <w:tcPr>
            <w:tcW w:w="1076" w:type="dxa"/>
            <w:vAlign w:val="center"/>
          </w:tcPr>
          <w:p>
            <w:pPr>
              <w:pStyle w:val="15"/>
              <w:ind w:firstLine="0" w:firstLineChars="0"/>
              <w:jc w:val="center"/>
              <w:rPr>
                <w:rFonts w:ascii="仿宋" w:hAnsi="仿宋" w:eastAsia="仿宋" w:cs="仿宋"/>
                <w:szCs w:val="21"/>
              </w:rPr>
            </w:pPr>
          </w:p>
        </w:tc>
        <w:tc>
          <w:tcPr>
            <w:tcW w:w="1263" w:type="dxa"/>
            <w:vAlign w:val="center"/>
          </w:tcPr>
          <w:p>
            <w:pPr>
              <w:pStyle w:val="15"/>
              <w:ind w:firstLine="0" w:firstLineChars="0"/>
              <w:jc w:val="center"/>
              <w:rPr>
                <w:rFonts w:ascii="仿宋" w:hAnsi="仿宋" w:eastAsia="仿宋" w:cs="仿宋"/>
                <w:szCs w:val="21"/>
              </w:rPr>
            </w:pPr>
          </w:p>
        </w:tc>
        <w:tc>
          <w:tcPr>
            <w:tcW w:w="1153" w:type="dxa"/>
            <w:vAlign w:val="center"/>
          </w:tcPr>
          <w:p>
            <w:pPr>
              <w:pStyle w:val="15"/>
              <w:ind w:firstLine="0" w:firstLineChars="0"/>
              <w:jc w:val="center"/>
              <w:rPr>
                <w:rFonts w:ascii="仿宋" w:hAnsi="仿宋" w:eastAsia="仿宋" w:cs="仿宋"/>
                <w:szCs w:val="21"/>
              </w:rPr>
            </w:pPr>
          </w:p>
        </w:tc>
        <w:tc>
          <w:tcPr>
            <w:tcW w:w="1102" w:type="dxa"/>
            <w:vAlign w:val="center"/>
          </w:tcPr>
          <w:p>
            <w:pPr>
              <w:pStyle w:val="15"/>
              <w:ind w:firstLine="0" w:firstLineChars="0"/>
              <w:jc w:val="center"/>
              <w:rPr>
                <w:rFonts w:ascii="仿宋" w:hAnsi="仿宋" w:eastAsia="仿宋" w:cs="仿宋"/>
                <w:szCs w:val="21"/>
              </w:rPr>
            </w:pPr>
          </w:p>
        </w:tc>
        <w:tc>
          <w:tcPr>
            <w:tcW w:w="1102"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c>
          <w:tcPr>
            <w:tcW w:w="1240" w:type="dxa"/>
            <w:vAlign w:val="center"/>
          </w:tcPr>
          <w:p>
            <w:pPr>
              <w:pStyle w:val="15"/>
              <w:ind w:firstLine="0" w:firstLineChars="0"/>
              <w:jc w:val="center"/>
              <w:rPr>
                <w:rFonts w:ascii="仿宋" w:hAnsi="仿宋" w:eastAsia="仿宋" w:cs="仿宋"/>
                <w:szCs w:val="21"/>
              </w:rPr>
            </w:pPr>
          </w:p>
        </w:tc>
      </w:tr>
    </w:tbl>
    <w:p>
      <w:pPr>
        <w:pStyle w:val="2"/>
        <w:ind w:left="0" w:leftChars="0" w:firstLine="0" w:firstLineChars="0"/>
        <w:jc w:val="center"/>
        <w:rPr>
          <w:rFonts w:ascii="仿宋_GB2312" w:hAnsi="宋体" w:eastAsia="仿宋_GB2312" w:cs="宋体"/>
          <w:kern w:val="0"/>
          <w:sz w:val="36"/>
          <w:szCs w:val="36"/>
          <w:lang w:bidi="ar"/>
        </w:rPr>
      </w:pPr>
    </w:p>
    <w:p>
      <w:pPr>
        <w:pStyle w:val="2"/>
        <w:ind w:left="0" w:leftChars="0" w:firstLine="0" w:firstLineChars="0"/>
        <w:jc w:val="center"/>
        <w:rPr>
          <w:rFonts w:eastAsia="仿宋_GB2312"/>
        </w:rPr>
        <w:sectPr>
          <w:pgSz w:w="16838" w:h="11906" w:orient="landscape"/>
          <w:pgMar w:top="1871" w:right="2154" w:bottom="1871" w:left="2098" w:header="851" w:footer="992" w:gutter="0"/>
          <w:cols w:space="720" w:num="1"/>
          <w:docGrid w:type="lines" w:linePitch="312" w:charSpace="0"/>
        </w:sectPr>
      </w:pPr>
    </w:p>
    <w:p>
      <w:pPr>
        <w:pStyle w:val="2"/>
        <w:ind w:left="0" w:leftChars="0" w:firstLine="0" w:firstLineChars="0"/>
        <w:rPr>
          <w:rFonts w:hint="eastAsia" w:ascii="黑体" w:hAnsi="黑体" w:eastAsia="黑体" w:cs="黑体"/>
          <w:kern w:val="0"/>
          <w:sz w:val="32"/>
          <w:szCs w:val="32"/>
        </w:rPr>
      </w:pPr>
      <w:r>
        <w:rPr>
          <w:rFonts w:hint="eastAsia" w:ascii="黑体" w:hAnsi="黑体" w:eastAsia="黑体" w:cs="黑体"/>
          <w:kern w:val="0"/>
          <w:sz w:val="32"/>
          <w:szCs w:val="32"/>
        </w:rPr>
        <w:t>附件2</w:t>
      </w:r>
    </w:p>
    <w:p>
      <w:pPr>
        <w:pStyle w:val="2"/>
        <w:spacing w:after="0"/>
        <w:ind w:left="0" w:leftChars="0" w:firstLine="0" w:firstLineChars="0"/>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管理岗位风险管控与隐患排查清单</w:t>
      </w:r>
    </w:p>
    <w:tbl>
      <w:tblPr>
        <w:tblStyle w:val="11"/>
        <w:tblW w:w="12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214"/>
        <w:gridCol w:w="2333"/>
        <w:gridCol w:w="2932"/>
        <w:gridCol w:w="1948"/>
        <w:gridCol w:w="1178"/>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r>
              <w:rPr>
                <w:rFonts w:hint="eastAsia" w:ascii="仿宋" w:hAnsi="仿宋" w:eastAsia="仿宋" w:cs="仿宋"/>
                <w:szCs w:val="18"/>
              </w:rPr>
              <w:t>岗位名称</w:t>
            </w:r>
          </w:p>
        </w:tc>
        <w:tc>
          <w:tcPr>
            <w:tcW w:w="1214"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r>
              <w:rPr>
                <w:rFonts w:hint="eastAsia" w:ascii="仿宋" w:hAnsi="仿宋" w:eastAsia="仿宋" w:cs="仿宋"/>
                <w:szCs w:val="18"/>
              </w:rPr>
              <w:t>风险等级</w:t>
            </w:r>
          </w:p>
        </w:tc>
        <w:tc>
          <w:tcPr>
            <w:tcW w:w="2333"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r>
              <w:rPr>
                <w:rFonts w:hint="eastAsia" w:ascii="仿宋" w:hAnsi="仿宋" w:eastAsia="仿宋" w:cs="仿宋"/>
                <w:szCs w:val="18"/>
              </w:rPr>
              <w:t>职责分工</w:t>
            </w:r>
          </w:p>
        </w:tc>
        <w:tc>
          <w:tcPr>
            <w:tcW w:w="29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kern w:val="0"/>
              </w:rPr>
            </w:pPr>
            <w:r>
              <w:rPr>
                <w:rFonts w:hint="eastAsia" w:ascii="仿宋" w:hAnsi="仿宋" w:eastAsia="仿宋" w:cs="仿宋"/>
                <w:kern w:val="0"/>
                <w:lang w:bidi="ar"/>
              </w:rPr>
              <w:t>管控措施</w:t>
            </w:r>
          </w:p>
        </w:tc>
        <w:tc>
          <w:tcPr>
            <w:tcW w:w="194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kern w:val="0"/>
                <w:lang w:bidi="ar"/>
              </w:rPr>
            </w:pPr>
            <w:r>
              <w:rPr>
                <w:rFonts w:hint="eastAsia" w:ascii="仿宋" w:hAnsi="仿宋" w:eastAsia="仿宋" w:cs="仿宋"/>
                <w:kern w:val="0"/>
                <w:lang w:bidi="ar"/>
              </w:rPr>
              <w:t>排查内容</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kern w:val="0"/>
                <w:lang w:bidi="ar"/>
              </w:rPr>
            </w:pPr>
            <w:r>
              <w:rPr>
                <w:rFonts w:hint="eastAsia" w:ascii="仿宋" w:hAnsi="仿宋" w:eastAsia="仿宋" w:cs="仿宋"/>
                <w:kern w:val="0"/>
                <w:lang w:bidi="ar"/>
              </w:rPr>
              <w:t>责任人</w:t>
            </w:r>
          </w:p>
        </w:tc>
        <w:tc>
          <w:tcPr>
            <w:tcW w:w="11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仿宋" w:hAnsi="仿宋" w:eastAsia="仿宋" w:cs="仿宋"/>
                <w:kern w:val="0"/>
                <w:lang w:bidi="ar"/>
              </w:rPr>
            </w:pPr>
            <w:r>
              <w:rPr>
                <w:rFonts w:hint="eastAsia" w:ascii="仿宋" w:hAnsi="仿宋" w:eastAsia="仿宋" w:cs="仿宋"/>
                <w:kern w:val="0"/>
                <w:lang w:bidi="ar"/>
              </w:rPr>
              <w:t>排查周期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2333"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948"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178"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2333"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948"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178"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2333"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948"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178"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2333"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948"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178"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214"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2333"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2932"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948"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178"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c>
          <w:tcPr>
            <w:tcW w:w="1180" w:type="dxa"/>
            <w:tcBorders>
              <w:top w:val="single" w:color="auto" w:sz="4" w:space="0"/>
              <w:left w:val="single" w:color="auto" w:sz="4" w:space="0"/>
              <w:bottom w:val="single" w:color="auto" w:sz="4" w:space="0"/>
              <w:right w:val="single" w:color="auto" w:sz="4" w:space="0"/>
            </w:tcBorders>
            <w:vAlign w:val="center"/>
          </w:tcPr>
          <w:p>
            <w:pPr>
              <w:pStyle w:val="15"/>
              <w:ind w:firstLine="0" w:firstLineChars="0"/>
              <w:jc w:val="center"/>
              <w:rPr>
                <w:rFonts w:ascii="仿宋" w:hAnsi="仿宋" w:eastAsia="仿宋" w:cs="仿宋"/>
                <w:szCs w:val="18"/>
              </w:rPr>
            </w:pPr>
          </w:p>
        </w:tc>
      </w:tr>
    </w:tbl>
    <w:p>
      <w:pPr>
        <w:pStyle w:val="2"/>
        <w:ind w:left="0" w:leftChars="0" w:firstLine="0" w:firstLineChars="0"/>
        <w:jc w:val="center"/>
        <w:rPr>
          <w:rFonts w:eastAsia="仿宋_GB2312"/>
        </w:rPr>
      </w:pPr>
    </w:p>
    <w:sectPr>
      <w:pgSz w:w="16838" w:h="11906" w:orient="landscape"/>
      <w:pgMar w:top="1871" w:right="2154" w:bottom="1871" w:left="209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9"/>
      <w:suff w:val="nothing"/>
      <w:lvlText w:val="%1.%2.%3　"/>
      <w:lvlJc w:val="left"/>
      <w:pPr>
        <w:ind w:left="7088" w:firstLine="0"/>
      </w:pPr>
      <w:rPr>
        <w:rFonts w:hint="eastAsia" w:ascii="黑体" w:hAnsi="Times New Roman" w:eastAsia="黑体"/>
        <w:b w:val="0"/>
        <w:i w:val="0"/>
        <w:sz w:val="21"/>
      </w:rPr>
    </w:lvl>
    <w:lvl w:ilvl="3" w:tentative="0">
      <w:start w:val="1"/>
      <w:numFmt w:val="decimal"/>
      <w:pStyle w:val="18"/>
      <w:suff w:val="nothing"/>
      <w:lvlText w:val="%1.%2.%3.%4　"/>
      <w:lvlJc w:val="left"/>
      <w:pPr>
        <w:ind w:left="11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16"/>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657D3FBC"/>
    <w:multiLevelType w:val="multilevel"/>
    <w:tmpl w:val="657D3FBC"/>
    <w:lvl w:ilvl="0" w:tentative="0">
      <w:start w:val="1"/>
      <w:numFmt w:val="upperLetter"/>
      <w:pStyle w:val="2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127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2EzMzZlYzY5NmM0ZWJlODY4MmRhYTg0ZDhhNzQifQ=="/>
  </w:docVars>
  <w:rsids>
    <w:rsidRoot w:val="00A825D1"/>
    <w:rsid w:val="0000505B"/>
    <w:rsid w:val="00031B09"/>
    <w:rsid w:val="000822D7"/>
    <w:rsid w:val="00084C8E"/>
    <w:rsid w:val="000C5644"/>
    <w:rsid w:val="00213E0B"/>
    <w:rsid w:val="00220508"/>
    <w:rsid w:val="00237B55"/>
    <w:rsid w:val="00242031"/>
    <w:rsid w:val="0029382D"/>
    <w:rsid w:val="002A126F"/>
    <w:rsid w:val="002E7A0D"/>
    <w:rsid w:val="00307EFD"/>
    <w:rsid w:val="003116C3"/>
    <w:rsid w:val="0031496E"/>
    <w:rsid w:val="00357169"/>
    <w:rsid w:val="003C1C6F"/>
    <w:rsid w:val="00430725"/>
    <w:rsid w:val="0043663B"/>
    <w:rsid w:val="00472CB8"/>
    <w:rsid w:val="00493FCD"/>
    <w:rsid w:val="00541B4C"/>
    <w:rsid w:val="00543F7E"/>
    <w:rsid w:val="005B15DB"/>
    <w:rsid w:val="005D2464"/>
    <w:rsid w:val="006C20B3"/>
    <w:rsid w:val="007204A5"/>
    <w:rsid w:val="00760A6E"/>
    <w:rsid w:val="00834350"/>
    <w:rsid w:val="00850A2F"/>
    <w:rsid w:val="008729E5"/>
    <w:rsid w:val="00892AA0"/>
    <w:rsid w:val="00902D4D"/>
    <w:rsid w:val="009817CD"/>
    <w:rsid w:val="00A825D1"/>
    <w:rsid w:val="00AA75BE"/>
    <w:rsid w:val="00AC1E93"/>
    <w:rsid w:val="00AF0337"/>
    <w:rsid w:val="00B27FE4"/>
    <w:rsid w:val="00BC5592"/>
    <w:rsid w:val="00CA6CBB"/>
    <w:rsid w:val="00CB5BAB"/>
    <w:rsid w:val="00CC7744"/>
    <w:rsid w:val="00D473E1"/>
    <w:rsid w:val="00D75DD7"/>
    <w:rsid w:val="00DA0306"/>
    <w:rsid w:val="00DA7D9C"/>
    <w:rsid w:val="00DB437A"/>
    <w:rsid w:val="00EE50B7"/>
    <w:rsid w:val="00EF4BA5"/>
    <w:rsid w:val="00FA51C9"/>
    <w:rsid w:val="00FC0669"/>
    <w:rsid w:val="020A1737"/>
    <w:rsid w:val="030033D2"/>
    <w:rsid w:val="03D40704"/>
    <w:rsid w:val="05A538EF"/>
    <w:rsid w:val="06291A17"/>
    <w:rsid w:val="0854278F"/>
    <w:rsid w:val="08E96DA1"/>
    <w:rsid w:val="09DD27A5"/>
    <w:rsid w:val="0A195A3E"/>
    <w:rsid w:val="0ADB7197"/>
    <w:rsid w:val="0B2E69E1"/>
    <w:rsid w:val="0B371A7A"/>
    <w:rsid w:val="0BD15AF1"/>
    <w:rsid w:val="0C260415"/>
    <w:rsid w:val="0D661A8A"/>
    <w:rsid w:val="0DC83A03"/>
    <w:rsid w:val="0E106B02"/>
    <w:rsid w:val="0E455182"/>
    <w:rsid w:val="0E590D12"/>
    <w:rsid w:val="0EB01236"/>
    <w:rsid w:val="0FB25EB1"/>
    <w:rsid w:val="0FBA513B"/>
    <w:rsid w:val="100F1268"/>
    <w:rsid w:val="10835914"/>
    <w:rsid w:val="11274A63"/>
    <w:rsid w:val="1141532E"/>
    <w:rsid w:val="115D0906"/>
    <w:rsid w:val="11647202"/>
    <w:rsid w:val="12024F34"/>
    <w:rsid w:val="127F6859"/>
    <w:rsid w:val="143C564E"/>
    <w:rsid w:val="14447D73"/>
    <w:rsid w:val="14870DC4"/>
    <w:rsid w:val="14A34882"/>
    <w:rsid w:val="15DF5D8E"/>
    <w:rsid w:val="164B3423"/>
    <w:rsid w:val="17FA1E46"/>
    <w:rsid w:val="18BF15C9"/>
    <w:rsid w:val="196C244C"/>
    <w:rsid w:val="1A11228E"/>
    <w:rsid w:val="1A6654D3"/>
    <w:rsid w:val="1B6D5BEA"/>
    <w:rsid w:val="1C654B13"/>
    <w:rsid w:val="1CDF0807"/>
    <w:rsid w:val="1F1F544D"/>
    <w:rsid w:val="1F7C4BD4"/>
    <w:rsid w:val="1FDD3701"/>
    <w:rsid w:val="1FFFB070"/>
    <w:rsid w:val="21086B82"/>
    <w:rsid w:val="234D3926"/>
    <w:rsid w:val="241C57CD"/>
    <w:rsid w:val="25381017"/>
    <w:rsid w:val="27077D2E"/>
    <w:rsid w:val="27A23C6C"/>
    <w:rsid w:val="27B52E82"/>
    <w:rsid w:val="283E4308"/>
    <w:rsid w:val="28A9396C"/>
    <w:rsid w:val="28C41EEF"/>
    <w:rsid w:val="2AC72613"/>
    <w:rsid w:val="2B151983"/>
    <w:rsid w:val="2BAF21A8"/>
    <w:rsid w:val="2C526E62"/>
    <w:rsid w:val="2C640943"/>
    <w:rsid w:val="2CED38FB"/>
    <w:rsid w:val="2DD51240"/>
    <w:rsid w:val="2DEE5F43"/>
    <w:rsid w:val="2E190B55"/>
    <w:rsid w:val="307A3BB2"/>
    <w:rsid w:val="32956ADD"/>
    <w:rsid w:val="33915C68"/>
    <w:rsid w:val="342261AE"/>
    <w:rsid w:val="34983880"/>
    <w:rsid w:val="36A17A26"/>
    <w:rsid w:val="372E694F"/>
    <w:rsid w:val="37601847"/>
    <w:rsid w:val="37DC5DBC"/>
    <w:rsid w:val="37F43282"/>
    <w:rsid w:val="39FF3A59"/>
    <w:rsid w:val="3A53165E"/>
    <w:rsid w:val="3A5B082A"/>
    <w:rsid w:val="3AA14836"/>
    <w:rsid w:val="3CE050A9"/>
    <w:rsid w:val="3CF97E43"/>
    <w:rsid w:val="3D2C2220"/>
    <w:rsid w:val="3DA05859"/>
    <w:rsid w:val="3E014868"/>
    <w:rsid w:val="3E0D39B6"/>
    <w:rsid w:val="3E7F4513"/>
    <w:rsid w:val="3F051B12"/>
    <w:rsid w:val="3F9115F7"/>
    <w:rsid w:val="40866C82"/>
    <w:rsid w:val="41F06AA9"/>
    <w:rsid w:val="42B04F85"/>
    <w:rsid w:val="43653254"/>
    <w:rsid w:val="43CC70A2"/>
    <w:rsid w:val="443F2E6F"/>
    <w:rsid w:val="447137A5"/>
    <w:rsid w:val="447B63D2"/>
    <w:rsid w:val="44A7086A"/>
    <w:rsid w:val="44B33DBE"/>
    <w:rsid w:val="44BD4C3D"/>
    <w:rsid w:val="44C923DE"/>
    <w:rsid w:val="469320F9"/>
    <w:rsid w:val="47255952"/>
    <w:rsid w:val="485B6C46"/>
    <w:rsid w:val="4A4060F4"/>
    <w:rsid w:val="4AC600F6"/>
    <w:rsid w:val="4BEC16C2"/>
    <w:rsid w:val="4C286E40"/>
    <w:rsid w:val="4D2BCAEF"/>
    <w:rsid w:val="4D7C38E7"/>
    <w:rsid w:val="4D871E79"/>
    <w:rsid w:val="4DA648D1"/>
    <w:rsid w:val="4DE813D2"/>
    <w:rsid w:val="4E3B1F80"/>
    <w:rsid w:val="4E777D8A"/>
    <w:rsid w:val="4EF17A8E"/>
    <w:rsid w:val="52731000"/>
    <w:rsid w:val="52FD1555"/>
    <w:rsid w:val="53024F6B"/>
    <w:rsid w:val="547561D8"/>
    <w:rsid w:val="56CD6D39"/>
    <w:rsid w:val="577B57A8"/>
    <w:rsid w:val="57F73395"/>
    <w:rsid w:val="596FDB7D"/>
    <w:rsid w:val="59B24B71"/>
    <w:rsid w:val="5A355549"/>
    <w:rsid w:val="5ACF2687"/>
    <w:rsid w:val="5C470A30"/>
    <w:rsid w:val="5D4E58A8"/>
    <w:rsid w:val="5DC76252"/>
    <w:rsid w:val="5EBB5CB3"/>
    <w:rsid w:val="5F5A6691"/>
    <w:rsid w:val="5F660942"/>
    <w:rsid w:val="5FFF5C09"/>
    <w:rsid w:val="601F2563"/>
    <w:rsid w:val="60275934"/>
    <w:rsid w:val="608531FB"/>
    <w:rsid w:val="61EC79D3"/>
    <w:rsid w:val="62486582"/>
    <w:rsid w:val="66024319"/>
    <w:rsid w:val="66196FE6"/>
    <w:rsid w:val="66400118"/>
    <w:rsid w:val="665827A3"/>
    <w:rsid w:val="668F7D8F"/>
    <w:rsid w:val="67E86265"/>
    <w:rsid w:val="69360996"/>
    <w:rsid w:val="69D12C17"/>
    <w:rsid w:val="6A4153F9"/>
    <w:rsid w:val="6AE23394"/>
    <w:rsid w:val="6CDD775D"/>
    <w:rsid w:val="6D9BCE2C"/>
    <w:rsid w:val="6DDC11A7"/>
    <w:rsid w:val="6DF24CE7"/>
    <w:rsid w:val="6FFB0BAB"/>
    <w:rsid w:val="7112329F"/>
    <w:rsid w:val="71764716"/>
    <w:rsid w:val="71862B21"/>
    <w:rsid w:val="71940098"/>
    <w:rsid w:val="71DD95D3"/>
    <w:rsid w:val="729C3A7B"/>
    <w:rsid w:val="738D3026"/>
    <w:rsid w:val="749E1395"/>
    <w:rsid w:val="76267123"/>
    <w:rsid w:val="774F5288"/>
    <w:rsid w:val="782C05C4"/>
    <w:rsid w:val="78B62A0B"/>
    <w:rsid w:val="7B874343"/>
    <w:rsid w:val="7BB045D8"/>
    <w:rsid w:val="7D6C2781"/>
    <w:rsid w:val="7DDF132E"/>
    <w:rsid w:val="7E7E0112"/>
    <w:rsid w:val="7EAF5849"/>
    <w:rsid w:val="7ED55B1A"/>
    <w:rsid w:val="7EDED48F"/>
    <w:rsid w:val="7F01514B"/>
    <w:rsid w:val="7F131BC7"/>
    <w:rsid w:val="7F2A46ED"/>
    <w:rsid w:val="9F692842"/>
    <w:rsid w:val="AFBE1787"/>
    <w:rsid w:val="BB547DA7"/>
    <w:rsid w:val="BBFFC106"/>
    <w:rsid w:val="BFBFA1FD"/>
    <w:rsid w:val="BFE7D781"/>
    <w:rsid w:val="CE777B91"/>
    <w:rsid w:val="DF5E3080"/>
    <w:rsid w:val="DFE25E07"/>
    <w:rsid w:val="DFF6796D"/>
    <w:rsid w:val="E67FC5DB"/>
    <w:rsid w:val="F37C10D4"/>
    <w:rsid w:val="F7DFCCE6"/>
    <w:rsid w:val="F9FEC420"/>
    <w:rsid w:val="FBFD7883"/>
    <w:rsid w:val="FC7B0D7A"/>
    <w:rsid w:val="FD1F841F"/>
    <w:rsid w:val="FDE257AF"/>
    <w:rsid w:val="FEFD2BF1"/>
    <w:rsid w:val="FF87C537"/>
    <w:rsid w:val="FFBF6F63"/>
    <w:rsid w:val="FFCB96A6"/>
    <w:rsid w:val="FFEF08BF"/>
    <w:rsid w:val="FFFBC5FA"/>
    <w:rsid w:val="FFFF22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uiPriority w:val="9"/>
    <w:pPr>
      <w:spacing w:before="100" w:beforeAutospacing="1" w:after="100"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5">
    <w:name w:val="annotation text"/>
    <w:basedOn w:val="1"/>
    <w:link w:val="22"/>
    <w:qFormat/>
    <w:uiPriority w:val="0"/>
    <w:pPr>
      <w:jc w:val="left"/>
    </w:pPr>
  </w:style>
  <w:style w:type="paragraph" w:styleId="6">
    <w:name w:val="Balloon Text"/>
    <w:basedOn w:val="1"/>
    <w:link w:val="24"/>
    <w:semiHidden/>
    <w:unhideWhenUsed/>
    <w:qFormat/>
    <w:uiPriority w:val="99"/>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5"/>
    <w:next w:val="5"/>
    <w:link w:val="23"/>
    <w:semiHidden/>
    <w:unhideWhenUsed/>
    <w:qFormat/>
    <w:uiPriority w:val="99"/>
    <w:rPr>
      <w:b/>
      <w:bCs/>
    </w:rPr>
  </w:style>
  <w:style w:type="character" w:styleId="13">
    <w:name w:val="annotation reference"/>
    <w:qFormat/>
    <w:uiPriority w:val="0"/>
    <w:rPr>
      <w:sz w:val="21"/>
      <w:szCs w:val="21"/>
    </w:rPr>
  </w:style>
  <w:style w:type="paragraph" w:customStyle="1" w:styleId="14">
    <w:name w:val="一级条标题"/>
    <w:next w:val="15"/>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6">
    <w:name w:val="列项——（一级）"/>
    <w:qFormat/>
    <w:uiPriority w:val="0"/>
    <w:pPr>
      <w:widowControl w:val="0"/>
      <w:numPr>
        <w:ilvl w:val="0"/>
        <w:numId w:val="2"/>
      </w:numPr>
      <w:jc w:val="both"/>
    </w:pPr>
    <w:rPr>
      <w:rFonts w:ascii="宋体" w:hAnsi="Calibri" w:eastAsia="宋体" w:cs="Times New Roman"/>
      <w:sz w:val="21"/>
      <w:lang w:val="en-US" w:eastAsia="zh-CN" w:bidi="ar-SA"/>
    </w:rPr>
  </w:style>
  <w:style w:type="paragraph" w:customStyle="1" w:styleId="17">
    <w:name w:val="三级无"/>
    <w:basedOn w:val="18"/>
    <w:qFormat/>
    <w:uiPriority w:val="0"/>
    <w:pPr>
      <w:spacing w:beforeLines="0" w:afterLines="0"/>
    </w:pPr>
    <w:rPr>
      <w:rFonts w:ascii="宋体" w:eastAsia="宋体"/>
    </w:rPr>
  </w:style>
  <w:style w:type="paragraph" w:customStyle="1" w:styleId="18">
    <w:name w:val="三级条标题"/>
    <w:basedOn w:val="19"/>
    <w:next w:val="15"/>
    <w:qFormat/>
    <w:uiPriority w:val="0"/>
    <w:pPr>
      <w:numPr>
        <w:ilvl w:val="3"/>
      </w:numPr>
      <w:outlineLvl w:val="4"/>
    </w:pPr>
  </w:style>
  <w:style w:type="paragraph" w:customStyle="1" w:styleId="19">
    <w:name w:val="二级条标题"/>
    <w:basedOn w:val="14"/>
    <w:next w:val="15"/>
    <w:qFormat/>
    <w:uiPriority w:val="0"/>
    <w:pPr>
      <w:numPr>
        <w:ilvl w:val="2"/>
      </w:numPr>
      <w:spacing w:before="50" w:after="50"/>
      <w:outlineLvl w:val="3"/>
    </w:pPr>
  </w:style>
  <w:style w:type="paragraph" w:customStyle="1" w:styleId="20">
    <w:name w:val="附录标识"/>
    <w:basedOn w:val="1"/>
    <w:next w:val="15"/>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styleId="21">
    <w:name w:val="List Paragraph"/>
    <w:basedOn w:val="1"/>
    <w:unhideWhenUsed/>
    <w:qFormat/>
    <w:uiPriority w:val="99"/>
    <w:pPr>
      <w:ind w:firstLine="420" w:firstLineChars="200"/>
    </w:pPr>
  </w:style>
  <w:style w:type="character" w:customStyle="1" w:styleId="22">
    <w:name w:val="批注文字 Char"/>
    <w:basedOn w:val="12"/>
    <w:link w:val="5"/>
    <w:qFormat/>
    <w:uiPriority w:val="0"/>
    <w:rPr>
      <w:rFonts w:ascii="Calibri" w:hAnsi="Calibri"/>
      <w:kern w:val="2"/>
      <w:sz w:val="21"/>
      <w:szCs w:val="22"/>
    </w:rPr>
  </w:style>
  <w:style w:type="character" w:customStyle="1" w:styleId="23">
    <w:name w:val="批注主题 Char"/>
    <w:basedOn w:val="22"/>
    <w:link w:val="10"/>
    <w:semiHidden/>
    <w:qFormat/>
    <w:uiPriority w:val="99"/>
    <w:rPr>
      <w:rFonts w:ascii="Calibri" w:hAnsi="Calibri"/>
      <w:b/>
      <w:bCs/>
      <w:kern w:val="2"/>
      <w:sz w:val="21"/>
      <w:szCs w:val="22"/>
    </w:rPr>
  </w:style>
  <w:style w:type="character" w:customStyle="1" w:styleId="24">
    <w:name w:val="批注框文本 Char"/>
    <w:basedOn w:val="12"/>
    <w:link w:val="6"/>
    <w:semiHidden/>
    <w:qFormat/>
    <w:uiPriority w:val="99"/>
    <w:rPr>
      <w:rFonts w:ascii="Calibri" w:hAnsi="Calibri"/>
      <w:kern w:val="2"/>
      <w:sz w:val="18"/>
      <w:szCs w:val="18"/>
    </w:rPr>
  </w:style>
  <w:style w:type="paragraph" w:customStyle="1" w:styleId="2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A2B03-15D1-4AE0-A45C-6678FCB8A3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3418</Words>
  <Characters>3449</Characters>
  <Lines>26</Lines>
  <Paragraphs>7</Paragraphs>
  <TotalTime>29</TotalTime>
  <ScaleCrop>false</ScaleCrop>
  <LinksUpToDate>false</LinksUpToDate>
  <CharactersWithSpaces>3504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2022-11-29T06:35:00Z</dcterms:created>
  <dc:creator>Administrator</dc:creator>
  <cp:lastModifiedBy>狐犀</cp:lastModifiedBy>
  <cp:lastPrinted>2023-03-17T03:07:00Z</cp:lastPrinted>
  <dcterms:modified xsi:type="dcterms:W3CDTF">2023-03-27T08:10:27Z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23A1833FBE1D44179C260C1220A9457C</vt:lpwstr>
  </property>
</Properties>
</file>